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9E2A" w14:textId="52145A40" w:rsidR="00CC3B7D" w:rsidRDefault="007B010E">
      <w:pPr>
        <w:spacing w:after="800" w:line="360" w:lineRule="auto"/>
        <w:jc w:val="center"/>
      </w:pPr>
      <w:r>
        <w:rPr>
          <w:rFonts w:ascii="Calibri" w:eastAsia="Calibri" w:hAnsi="Calibri" w:cs="Calibri"/>
          <w:b/>
          <w:bCs/>
          <w:color w:val="1E3A6E"/>
          <w:spacing w:val="30"/>
          <w:sz w:val="20"/>
          <w:szCs w:val="20"/>
        </w:rPr>
        <w:t xml:space="preserve">PORT OF </w:t>
      </w:r>
      <w:proofErr w:type="gramStart"/>
      <w:r>
        <w:rPr>
          <w:rFonts w:ascii="Calibri" w:eastAsia="Calibri" w:hAnsi="Calibri" w:cs="Calibri"/>
          <w:b/>
          <w:bCs/>
          <w:color w:val="1E3A6E"/>
          <w:spacing w:val="30"/>
          <w:sz w:val="20"/>
          <w:szCs w:val="20"/>
        </w:rPr>
        <w:t>SEATTLE  |</w:t>
      </w:r>
      <w:proofErr w:type="gramEnd"/>
      <w:r>
        <w:rPr>
          <w:rFonts w:ascii="Calibri" w:eastAsia="Calibri" w:hAnsi="Calibri" w:cs="Calibri"/>
          <w:b/>
          <w:bCs/>
          <w:color w:val="1E3A6E"/>
          <w:spacing w:val="30"/>
          <w:sz w:val="20"/>
          <w:szCs w:val="20"/>
        </w:rPr>
        <w:t xml:space="preserve">  </w:t>
      </w:r>
      <w:r w:rsidR="00A67450">
        <w:rPr>
          <w:rFonts w:ascii="Calibri" w:eastAsia="Calibri" w:hAnsi="Calibri" w:cs="Calibri"/>
          <w:b/>
          <w:bCs/>
          <w:color w:val="1E3A6E"/>
          <w:spacing w:val="30"/>
          <w:sz w:val="20"/>
          <w:szCs w:val="20"/>
        </w:rPr>
        <w:t xml:space="preserve">SAMP </w:t>
      </w:r>
      <w:r w:rsidR="000467D9">
        <w:rPr>
          <w:rFonts w:ascii="Calibri" w:eastAsia="Calibri" w:hAnsi="Calibri" w:cs="Calibri"/>
          <w:b/>
          <w:bCs/>
          <w:color w:val="1E3A6E"/>
          <w:spacing w:val="30"/>
          <w:sz w:val="20"/>
          <w:szCs w:val="20"/>
        </w:rPr>
        <w:t xml:space="preserve">Supporting Documentation Summary </w:t>
      </w:r>
    </w:p>
    <w:p w14:paraId="535E9E2B" w14:textId="77777777" w:rsidR="00CC3B7D" w:rsidRDefault="00CC3B7D">
      <w:pPr>
        <w:pBdr>
          <w:bottom w:val="single" w:sz="6" w:space="0" w:color="000000"/>
        </w:pBdr>
        <w:spacing w:before="240" w:after="240"/>
      </w:pPr>
    </w:p>
    <w:p w14:paraId="535E9E2C" w14:textId="77777777" w:rsidR="00CC3B7D" w:rsidRDefault="00CC3B7D">
      <w:pPr>
        <w:pBdr>
          <w:bottom w:val="single" w:sz="6" w:space="0" w:color="000000"/>
        </w:pBdr>
        <w:spacing w:before="240" w:after="240"/>
      </w:pPr>
    </w:p>
    <w:p w14:paraId="535E9E2D" w14:textId="77777777" w:rsidR="00CC3B7D" w:rsidRDefault="007B010E">
      <w:pPr>
        <w:spacing w:after="240" w:line="300" w:lineRule="auto"/>
        <w:jc w:val="center"/>
      </w:pPr>
      <w:r>
        <w:rPr>
          <w:rFonts w:ascii="Calibri" w:eastAsia="Calibri" w:hAnsi="Calibri" w:cs="Calibri"/>
          <w:b/>
          <w:bCs/>
          <w:color w:val="0D2240"/>
          <w:sz w:val="52"/>
          <w:szCs w:val="52"/>
        </w:rPr>
        <w:t>Technical Appendix –</w:t>
      </w:r>
      <w:r>
        <w:rPr>
          <w:rFonts w:ascii="Calibri" w:eastAsia="Calibri" w:hAnsi="Calibri" w:cs="Calibri"/>
          <w:b/>
          <w:bCs/>
          <w:color w:val="0D2240"/>
          <w:sz w:val="52"/>
          <w:szCs w:val="52"/>
        </w:rPr>
        <w:br/>
      </w:r>
      <w:r>
        <w:rPr>
          <w:rFonts w:ascii="Calibri" w:eastAsia="Calibri" w:hAnsi="Calibri" w:cs="Calibri"/>
          <w:b/>
          <w:bCs/>
          <w:color w:val="0D2240"/>
          <w:sz w:val="52"/>
          <w:szCs w:val="52"/>
        </w:rPr>
        <w:t>SEA Airport Capacity Analysis</w:t>
      </w:r>
    </w:p>
    <w:p w14:paraId="535E9E2E" w14:textId="77777777" w:rsidR="00CC3B7D" w:rsidRDefault="007B010E">
      <w:pPr>
        <w:spacing w:after="640" w:line="360" w:lineRule="auto"/>
        <w:jc w:val="center"/>
      </w:pPr>
      <w:r>
        <w:rPr>
          <w:rFonts w:ascii="Calibri" w:eastAsia="Calibri" w:hAnsi="Calibri" w:cs="Calibri"/>
          <w:i/>
          <w:iCs/>
          <w:color w:val="1E3A6E"/>
          <w:sz w:val="28"/>
          <w:szCs w:val="28"/>
        </w:rPr>
        <w:t>Supporting Documentation for Capacity White Papers</w:t>
      </w:r>
    </w:p>
    <w:p w14:paraId="535E9E2F" w14:textId="77777777" w:rsidR="00CC3B7D" w:rsidRDefault="00CC3B7D">
      <w:pPr>
        <w:pBdr>
          <w:bottom w:val="single" w:sz="6" w:space="0" w:color="000000"/>
        </w:pBdr>
        <w:spacing w:before="240" w:after="240"/>
      </w:pPr>
    </w:p>
    <w:p w14:paraId="535E9E30"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2524"/>
        <w:gridCol w:w="6826"/>
      </w:tblGrid>
      <w:tr w:rsidR="00CC3B7D" w14:paraId="535E9E33" w14:textId="77777777">
        <w:tblPrEx>
          <w:tblCellMar>
            <w:top w:w="0" w:type="dxa"/>
            <w:bottom w:w="0" w:type="dxa"/>
          </w:tblCellMar>
        </w:tblPrEx>
        <w:trPr>
          <w:tblHeader/>
        </w:trPr>
        <w:tc>
          <w:tcPr>
            <w:tcW w:w="1350" w:type="pct"/>
            <w:shd w:val="clear" w:color="auto" w:fill="CCD9EA"/>
            <w:tcMar>
              <w:top w:w="75" w:type="dxa"/>
              <w:left w:w="105" w:type="dxa"/>
              <w:bottom w:w="75" w:type="dxa"/>
              <w:right w:w="105" w:type="dxa"/>
            </w:tcMar>
          </w:tcPr>
          <w:p w14:paraId="535E9E31" w14:textId="77777777" w:rsidR="00CC3B7D" w:rsidRDefault="007B010E">
            <w:r>
              <w:rPr>
                <w:rFonts w:ascii="Calibri" w:eastAsia="Calibri" w:hAnsi="Calibri" w:cs="Calibri"/>
                <w:b/>
                <w:bCs/>
                <w:color w:val="0D2240"/>
                <w:sz w:val="22"/>
                <w:szCs w:val="22"/>
              </w:rPr>
              <w:t>Prepared By:</w:t>
            </w:r>
          </w:p>
        </w:tc>
        <w:tc>
          <w:tcPr>
            <w:tcW w:w="3650" w:type="pct"/>
            <w:shd w:val="clear" w:color="auto" w:fill="CCD9EA"/>
            <w:tcMar>
              <w:top w:w="75" w:type="dxa"/>
              <w:left w:w="105" w:type="dxa"/>
              <w:bottom w:w="75" w:type="dxa"/>
              <w:right w:w="105" w:type="dxa"/>
            </w:tcMar>
          </w:tcPr>
          <w:p w14:paraId="535E9E32" w14:textId="77777777" w:rsidR="00CC3B7D" w:rsidRDefault="007B010E">
            <w:r>
              <w:rPr>
                <w:rFonts w:ascii="Calibri" w:eastAsia="Calibri" w:hAnsi="Calibri" w:cs="Calibri"/>
                <w:b/>
                <w:bCs/>
                <w:color w:val="0D2240"/>
                <w:sz w:val="22"/>
                <w:szCs w:val="22"/>
              </w:rPr>
              <w:t>Jeffery Bogen</w:t>
            </w:r>
          </w:p>
        </w:tc>
      </w:tr>
      <w:tr w:rsidR="00CC3B7D" w14:paraId="535E9E36" w14:textId="77777777">
        <w:tblPrEx>
          <w:tblCellMar>
            <w:top w:w="0" w:type="dxa"/>
            <w:bottom w:w="0" w:type="dxa"/>
          </w:tblCellMar>
        </w:tblPrEx>
        <w:tc>
          <w:tcPr>
            <w:tcW w:w="1350" w:type="pct"/>
            <w:tcMar>
              <w:top w:w="75" w:type="dxa"/>
              <w:left w:w="105" w:type="dxa"/>
              <w:bottom w:w="75" w:type="dxa"/>
              <w:right w:w="105" w:type="dxa"/>
            </w:tcMar>
          </w:tcPr>
          <w:p w14:paraId="535E9E34" w14:textId="77777777" w:rsidR="00CC3B7D" w:rsidRDefault="007B010E">
            <w:r>
              <w:rPr>
                <w:rFonts w:ascii="Calibri" w:eastAsia="Calibri" w:hAnsi="Calibri" w:cs="Calibri"/>
                <w:b/>
                <w:bCs/>
                <w:color w:val="1E3A6E"/>
                <w:sz w:val="22"/>
                <w:szCs w:val="22"/>
              </w:rPr>
              <w:t>Organization:</w:t>
            </w:r>
          </w:p>
        </w:tc>
        <w:tc>
          <w:tcPr>
            <w:tcW w:w="3650" w:type="pct"/>
            <w:tcMar>
              <w:top w:w="75" w:type="dxa"/>
              <w:left w:w="105" w:type="dxa"/>
              <w:bottom w:w="75" w:type="dxa"/>
              <w:right w:w="105" w:type="dxa"/>
            </w:tcMar>
          </w:tcPr>
          <w:p w14:paraId="535E9E35" w14:textId="582421BB" w:rsidR="00CC3B7D" w:rsidRDefault="000467D9">
            <w:r>
              <w:t>DAAC</w:t>
            </w:r>
          </w:p>
        </w:tc>
      </w:tr>
      <w:tr w:rsidR="00CC3B7D" w14:paraId="535E9E39" w14:textId="77777777">
        <w:tblPrEx>
          <w:tblCellMar>
            <w:top w:w="0" w:type="dxa"/>
            <w:bottom w:w="0" w:type="dxa"/>
          </w:tblCellMar>
        </w:tblPrEx>
        <w:tc>
          <w:tcPr>
            <w:tcW w:w="1350" w:type="pct"/>
            <w:tcMar>
              <w:top w:w="75" w:type="dxa"/>
              <w:left w:w="105" w:type="dxa"/>
              <w:bottom w:w="75" w:type="dxa"/>
              <w:right w:w="105" w:type="dxa"/>
            </w:tcMar>
          </w:tcPr>
          <w:p w14:paraId="535E9E37" w14:textId="77777777" w:rsidR="00CC3B7D" w:rsidRDefault="007B010E">
            <w:r>
              <w:rPr>
                <w:rFonts w:ascii="Calibri" w:eastAsia="Calibri" w:hAnsi="Calibri" w:cs="Calibri"/>
                <w:b/>
                <w:bCs/>
                <w:color w:val="1E3A6E"/>
                <w:sz w:val="22"/>
                <w:szCs w:val="22"/>
              </w:rPr>
              <w:t>Date:</w:t>
            </w:r>
          </w:p>
        </w:tc>
        <w:tc>
          <w:tcPr>
            <w:tcW w:w="3650" w:type="pct"/>
            <w:tcMar>
              <w:top w:w="75" w:type="dxa"/>
              <w:left w:w="105" w:type="dxa"/>
              <w:bottom w:w="75" w:type="dxa"/>
              <w:right w:w="105" w:type="dxa"/>
            </w:tcMar>
          </w:tcPr>
          <w:p w14:paraId="535E9E38" w14:textId="77777777" w:rsidR="00CC3B7D" w:rsidRDefault="007B010E">
            <w:r>
              <w:rPr>
                <w:rFonts w:ascii="Calibri" w:eastAsia="Calibri" w:hAnsi="Calibri" w:cs="Calibri"/>
                <w:color w:val="1A1A1A"/>
                <w:sz w:val="22"/>
                <w:szCs w:val="22"/>
              </w:rPr>
              <w:t>May 28, 2026</w:t>
            </w:r>
          </w:p>
        </w:tc>
      </w:tr>
      <w:tr w:rsidR="00CC3B7D" w14:paraId="535E9E3C" w14:textId="77777777">
        <w:tblPrEx>
          <w:tblCellMar>
            <w:top w:w="0" w:type="dxa"/>
            <w:bottom w:w="0" w:type="dxa"/>
          </w:tblCellMar>
        </w:tblPrEx>
        <w:tc>
          <w:tcPr>
            <w:tcW w:w="1350" w:type="pct"/>
            <w:tcMar>
              <w:top w:w="75" w:type="dxa"/>
              <w:left w:w="105" w:type="dxa"/>
              <w:bottom w:w="75" w:type="dxa"/>
              <w:right w:w="105" w:type="dxa"/>
            </w:tcMar>
          </w:tcPr>
          <w:p w14:paraId="535E9E3A" w14:textId="77777777" w:rsidR="00CC3B7D" w:rsidRDefault="007B010E">
            <w:r>
              <w:rPr>
                <w:rFonts w:ascii="Calibri" w:eastAsia="Calibri" w:hAnsi="Calibri" w:cs="Calibri"/>
                <w:b/>
                <w:bCs/>
                <w:color w:val="1E3A6E"/>
                <w:sz w:val="22"/>
                <w:szCs w:val="22"/>
              </w:rPr>
              <w:t>Document Type:</w:t>
            </w:r>
          </w:p>
        </w:tc>
        <w:tc>
          <w:tcPr>
            <w:tcW w:w="3650" w:type="pct"/>
            <w:tcMar>
              <w:top w:w="75" w:type="dxa"/>
              <w:left w:w="105" w:type="dxa"/>
              <w:bottom w:w="75" w:type="dxa"/>
              <w:right w:w="105" w:type="dxa"/>
            </w:tcMar>
          </w:tcPr>
          <w:p w14:paraId="535E9E3B" w14:textId="77777777" w:rsidR="00CC3B7D" w:rsidRDefault="007B010E">
            <w:r>
              <w:rPr>
                <w:rFonts w:ascii="Calibri" w:eastAsia="Calibri" w:hAnsi="Calibri" w:cs="Calibri"/>
                <w:color w:val="1A1A1A"/>
                <w:sz w:val="22"/>
                <w:szCs w:val="22"/>
              </w:rPr>
              <w:t>Technical Appendix / Supporting Data</w:t>
            </w:r>
          </w:p>
        </w:tc>
      </w:tr>
      <w:tr w:rsidR="00CC3B7D" w14:paraId="535E9E3F" w14:textId="77777777">
        <w:tblPrEx>
          <w:tblCellMar>
            <w:top w:w="0" w:type="dxa"/>
            <w:bottom w:w="0" w:type="dxa"/>
          </w:tblCellMar>
        </w:tblPrEx>
        <w:tc>
          <w:tcPr>
            <w:tcW w:w="1350" w:type="pct"/>
            <w:tcMar>
              <w:top w:w="75" w:type="dxa"/>
              <w:left w:w="105" w:type="dxa"/>
              <w:bottom w:w="75" w:type="dxa"/>
              <w:right w:w="105" w:type="dxa"/>
            </w:tcMar>
          </w:tcPr>
          <w:p w14:paraId="535E9E3D" w14:textId="77777777" w:rsidR="00CC3B7D" w:rsidRDefault="007B010E">
            <w:r>
              <w:rPr>
                <w:rFonts w:ascii="Calibri" w:eastAsia="Calibri" w:hAnsi="Calibri" w:cs="Calibri"/>
                <w:b/>
                <w:bCs/>
                <w:color w:val="1E3A6E"/>
                <w:sz w:val="22"/>
                <w:szCs w:val="22"/>
              </w:rPr>
              <w:t>Airport:</w:t>
            </w:r>
          </w:p>
        </w:tc>
        <w:tc>
          <w:tcPr>
            <w:tcW w:w="3650" w:type="pct"/>
            <w:tcMar>
              <w:top w:w="75" w:type="dxa"/>
              <w:left w:w="105" w:type="dxa"/>
              <w:bottom w:w="75" w:type="dxa"/>
              <w:right w:w="105" w:type="dxa"/>
            </w:tcMar>
          </w:tcPr>
          <w:p w14:paraId="535E9E3E" w14:textId="77777777" w:rsidR="00CC3B7D" w:rsidRDefault="007B010E">
            <w:r>
              <w:rPr>
                <w:rFonts w:ascii="Calibri" w:eastAsia="Calibri" w:hAnsi="Calibri" w:cs="Calibri"/>
                <w:color w:val="1A1A1A"/>
                <w:sz w:val="22"/>
                <w:szCs w:val="22"/>
              </w:rPr>
              <w:t>Seattle-Tacoma International Airport (SEA / KSEA)</w:t>
            </w:r>
          </w:p>
        </w:tc>
      </w:tr>
    </w:tbl>
    <w:p w14:paraId="535E9E40" w14:textId="77777777" w:rsidR="00CC3B7D" w:rsidRDefault="00CC3B7D">
      <w:pPr>
        <w:spacing w:after="200"/>
      </w:pPr>
    </w:p>
    <w:p w14:paraId="535E9E46" w14:textId="77777777" w:rsidR="00CC3B7D" w:rsidRDefault="00CC3B7D">
      <w:pPr>
        <w:pBdr>
          <w:bottom w:val="single" w:sz="6" w:space="0" w:color="000000"/>
        </w:pBdr>
        <w:spacing w:before="240" w:after="240"/>
      </w:pPr>
    </w:p>
    <w:p w14:paraId="535E9E47" w14:textId="77777777" w:rsidR="00CC3B7D" w:rsidRDefault="007B010E">
      <w:pPr>
        <w:spacing w:after="240" w:line="360" w:lineRule="auto"/>
        <w:jc w:val="center"/>
      </w:pPr>
      <w:r>
        <w:rPr>
          <w:rFonts w:ascii="Calibri" w:eastAsia="Calibri" w:hAnsi="Calibri" w:cs="Calibri"/>
          <w:color w:val="5A6E82"/>
          <w:sz w:val="18"/>
          <w:szCs w:val="18"/>
        </w:rPr>
        <w:t>This document is included for reference purposes to support SAMP Seating Capacity SEPA/EIS Comment</w:t>
      </w:r>
    </w:p>
    <w:p w14:paraId="535E9E48" w14:textId="77777777" w:rsidR="00CC3B7D" w:rsidRDefault="00CC3B7D">
      <w:pPr>
        <w:pBdr>
          <w:bottom w:val="single" w:sz="6" w:space="0" w:color="000000"/>
        </w:pBdr>
        <w:spacing w:before="240" w:after="240"/>
      </w:pPr>
    </w:p>
    <w:p w14:paraId="535E9E49" w14:textId="77777777" w:rsidR="00CC3B7D" w:rsidRDefault="00CC3B7D">
      <w:pPr>
        <w:pBdr>
          <w:bottom w:val="single" w:sz="6" w:space="0" w:color="1E3A6E"/>
        </w:pBdr>
        <w:spacing w:before="240" w:after="240"/>
      </w:pPr>
    </w:p>
    <w:p w14:paraId="535E9E4A" w14:textId="77777777" w:rsidR="00CC3B7D" w:rsidRDefault="007B010E">
      <w:pPr>
        <w:spacing w:after="240" w:line="360" w:lineRule="auto"/>
      </w:pPr>
      <w:r>
        <w:rPr>
          <w:rFonts w:ascii="Calibri" w:eastAsia="Calibri" w:hAnsi="Calibri" w:cs="Calibri"/>
          <w:b/>
          <w:bCs/>
          <w:color w:val="0D2240"/>
          <w:sz w:val="32"/>
          <w:szCs w:val="32"/>
        </w:rPr>
        <w:t>Table of Contents</w:t>
      </w:r>
    </w:p>
    <w:p w14:paraId="535E9E4B"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122"/>
        <w:gridCol w:w="7106"/>
        <w:gridCol w:w="1122"/>
      </w:tblGrid>
      <w:tr w:rsidR="00CC3B7D" w14:paraId="535E9E4F" w14:textId="77777777">
        <w:tblPrEx>
          <w:tblCellMar>
            <w:top w:w="0" w:type="dxa"/>
            <w:bottom w:w="0" w:type="dxa"/>
          </w:tblCellMar>
        </w:tblPrEx>
        <w:trPr>
          <w:tblHeader/>
        </w:trPr>
        <w:tc>
          <w:tcPr>
            <w:tcW w:w="600" w:type="pct"/>
            <w:shd w:val="clear" w:color="auto" w:fill="CCD9EA"/>
            <w:tcMar>
              <w:top w:w="75" w:type="dxa"/>
              <w:left w:w="105" w:type="dxa"/>
              <w:bottom w:w="75" w:type="dxa"/>
              <w:right w:w="105" w:type="dxa"/>
            </w:tcMar>
          </w:tcPr>
          <w:p w14:paraId="535E9E4C" w14:textId="77777777" w:rsidR="00CC3B7D" w:rsidRDefault="00CC3B7D"/>
        </w:tc>
        <w:tc>
          <w:tcPr>
            <w:tcW w:w="3800" w:type="pct"/>
            <w:shd w:val="clear" w:color="auto" w:fill="CCD9EA"/>
            <w:tcMar>
              <w:top w:w="75" w:type="dxa"/>
              <w:left w:w="105" w:type="dxa"/>
              <w:bottom w:w="75" w:type="dxa"/>
              <w:right w:w="105" w:type="dxa"/>
            </w:tcMar>
          </w:tcPr>
          <w:p w14:paraId="535E9E4D" w14:textId="77777777" w:rsidR="00CC3B7D" w:rsidRDefault="007B010E">
            <w:r>
              <w:rPr>
                <w:rFonts w:ascii="Calibri" w:eastAsia="Calibri" w:hAnsi="Calibri" w:cs="Calibri"/>
                <w:b/>
                <w:bCs/>
                <w:color w:val="0D2240"/>
                <w:sz w:val="21"/>
                <w:szCs w:val="21"/>
              </w:rPr>
              <w:t>Executive Summary</w:t>
            </w:r>
          </w:p>
        </w:tc>
        <w:tc>
          <w:tcPr>
            <w:tcW w:w="600" w:type="pct"/>
            <w:shd w:val="clear" w:color="auto" w:fill="CCD9EA"/>
            <w:tcMar>
              <w:top w:w="75" w:type="dxa"/>
              <w:left w:w="105" w:type="dxa"/>
              <w:bottom w:w="75" w:type="dxa"/>
              <w:right w:w="105" w:type="dxa"/>
            </w:tcMar>
          </w:tcPr>
          <w:p w14:paraId="535E9E4E" w14:textId="77777777" w:rsidR="00CC3B7D" w:rsidRDefault="007B010E">
            <w:r>
              <w:rPr>
                <w:rFonts w:ascii="Calibri" w:eastAsia="Calibri" w:hAnsi="Calibri" w:cs="Calibri"/>
                <w:b/>
                <w:bCs/>
                <w:color w:val="0D2240"/>
                <w:sz w:val="21"/>
                <w:szCs w:val="21"/>
              </w:rPr>
              <w:t>3</w:t>
            </w:r>
          </w:p>
        </w:tc>
      </w:tr>
    </w:tbl>
    <w:p w14:paraId="535E9E50" w14:textId="77777777" w:rsidR="00CC3B7D" w:rsidRDefault="00CC3B7D">
      <w:pPr>
        <w:spacing w:after="200"/>
      </w:pPr>
    </w:p>
    <w:p w14:paraId="535E9E51" w14:textId="77777777" w:rsidR="00CC3B7D" w:rsidRDefault="00CC3B7D">
      <w:pPr>
        <w:pBdr>
          <w:bottom w:val="single" w:sz="6" w:space="0" w:color="000000"/>
        </w:pBdr>
        <w:spacing w:before="240" w:after="240"/>
      </w:pPr>
    </w:p>
    <w:p w14:paraId="535E9E52"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3085"/>
        <w:gridCol w:w="5236"/>
        <w:gridCol w:w="1029"/>
      </w:tblGrid>
      <w:tr w:rsidR="00CC3B7D" w14:paraId="535E9E56" w14:textId="77777777">
        <w:tblPrEx>
          <w:tblCellMar>
            <w:top w:w="0" w:type="dxa"/>
            <w:bottom w:w="0" w:type="dxa"/>
          </w:tblCellMar>
        </w:tblPrEx>
        <w:trPr>
          <w:tblHeader/>
        </w:trPr>
        <w:tc>
          <w:tcPr>
            <w:tcW w:w="1650" w:type="pct"/>
            <w:shd w:val="clear" w:color="auto" w:fill="CCD9EA"/>
            <w:tcMar>
              <w:top w:w="75" w:type="dxa"/>
              <w:left w:w="105" w:type="dxa"/>
              <w:bottom w:w="75" w:type="dxa"/>
              <w:right w:w="105" w:type="dxa"/>
            </w:tcMar>
          </w:tcPr>
          <w:p w14:paraId="535E9E53" w14:textId="77777777" w:rsidR="00CC3B7D" w:rsidRDefault="007B010E">
            <w:r>
              <w:rPr>
                <w:rFonts w:ascii="Calibri" w:eastAsia="Calibri" w:hAnsi="Calibri" w:cs="Calibri"/>
                <w:b/>
                <w:bCs/>
                <w:color w:val="0D2240"/>
                <w:sz w:val="21"/>
                <w:szCs w:val="21"/>
              </w:rPr>
              <w:t>Section 1</w:t>
            </w:r>
          </w:p>
        </w:tc>
        <w:tc>
          <w:tcPr>
            <w:tcW w:w="2800" w:type="pct"/>
            <w:shd w:val="clear" w:color="auto" w:fill="CCD9EA"/>
            <w:tcMar>
              <w:top w:w="75" w:type="dxa"/>
              <w:left w:w="105" w:type="dxa"/>
              <w:bottom w:w="75" w:type="dxa"/>
              <w:right w:w="105" w:type="dxa"/>
            </w:tcMar>
          </w:tcPr>
          <w:p w14:paraId="535E9E54" w14:textId="77777777" w:rsidR="00CC3B7D" w:rsidRDefault="007B010E">
            <w:r>
              <w:rPr>
                <w:rFonts w:ascii="Calibri" w:eastAsia="Calibri" w:hAnsi="Calibri" w:cs="Calibri"/>
                <w:b/>
                <w:bCs/>
                <w:color w:val="0D2240"/>
                <w:sz w:val="21"/>
                <w:szCs w:val="21"/>
              </w:rPr>
              <w:t>Purpose and Scope</w:t>
            </w:r>
          </w:p>
        </w:tc>
        <w:tc>
          <w:tcPr>
            <w:tcW w:w="550" w:type="pct"/>
            <w:shd w:val="clear" w:color="auto" w:fill="CCD9EA"/>
            <w:tcMar>
              <w:top w:w="75" w:type="dxa"/>
              <w:left w:w="105" w:type="dxa"/>
              <w:bottom w:w="75" w:type="dxa"/>
              <w:right w:w="105" w:type="dxa"/>
            </w:tcMar>
          </w:tcPr>
          <w:p w14:paraId="535E9E55" w14:textId="77777777" w:rsidR="00CC3B7D" w:rsidRDefault="007B010E">
            <w:r>
              <w:rPr>
                <w:rFonts w:ascii="Calibri" w:eastAsia="Calibri" w:hAnsi="Calibri" w:cs="Calibri"/>
                <w:b/>
                <w:bCs/>
                <w:color w:val="0D2240"/>
                <w:sz w:val="21"/>
                <w:szCs w:val="21"/>
              </w:rPr>
              <w:t>3</w:t>
            </w:r>
          </w:p>
        </w:tc>
      </w:tr>
    </w:tbl>
    <w:p w14:paraId="535E9E57" w14:textId="77777777" w:rsidR="00CC3B7D" w:rsidRDefault="00CC3B7D">
      <w:pPr>
        <w:spacing w:after="200"/>
      </w:pPr>
    </w:p>
    <w:p w14:paraId="535E9E58" w14:textId="77777777" w:rsidR="00CC3B7D" w:rsidRDefault="00CC3B7D">
      <w:pPr>
        <w:pBdr>
          <w:bottom w:val="single" w:sz="6" w:space="0" w:color="000000"/>
        </w:pBdr>
        <w:spacing w:before="240" w:after="240"/>
      </w:pPr>
    </w:p>
    <w:p w14:paraId="535E9E59"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2337"/>
        <w:gridCol w:w="6078"/>
        <w:gridCol w:w="935"/>
      </w:tblGrid>
      <w:tr w:rsidR="00CC3B7D" w14:paraId="535E9E5D" w14:textId="77777777">
        <w:tblPrEx>
          <w:tblCellMar>
            <w:top w:w="0" w:type="dxa"/>
            <w:bottom w:w="0" w:type="dxa"/>
          </w:tblCellMar>
        </w:tblPrEx>
        <w:trPr>
          <w:tblHeader/>
        </w:trPr>
        <w:tc>
          <w:tcPr>
            <w:tcW w:w="1250" w:type="pct"/>
            <w:shd w:val="clear" w:color="auto" w:fill="CCD9EA"/>
            <w:tcMar>
              <w:top w:w="75" w:type="dxa"/>
              <w:left w:w="105" w:type="dxa"/>
              <w:bottom w:w="75" w:type="dxa"/>
              <w:right w:w="105" w:type="dxa"/>
            </w:tcMar>
          </w:tcPr>
          <w:p w14:paraId="535E9E5A" w14:textId="77777777" w:rsidR="00CC3B7D" w:rsidRDefault="007B010E">
            <w:r>
              <w:rPr>
                <w:rFonts w:ascii="Calibri" w:eastAsia="Calibri" w:hAnsi="Calibri" w:cs="Calibri"/>
                <w:b/>
                <w:bCs/>
                <w:color w:val="0D2240"/>
                <w:sz w:val="21"/>
                <w:szCs w:val="21"/>
              </w:rPr>
              <w:t>Section 2</w:t>
            </w:r>
          </w:p>
        </w:tc>
        <w:tc>
          <w:tcPr>
            <w:tcW w:w="3250" w:type="pct"/>
            <w:shd w:val="clear" w:color="auto" w:fill="CCD9EA"/>
            <w:tcMar>
              <w:top w:w="75" w:type="dxa"/>
              <w:left w:w="105" w:type="dxa"/>
              <w:bottom w:w="75" w:type="dxa"/>
              <w:right w:w="105" w:type="dxa"/>
            </w:tcMar>
          </w:tcPr>
          <w:p w14:paraId="535E9E5B" w14:textId="77777777" w:rsidR="00CC3B7D" w:rsidRDefault="007B010E">
            <w:r>
              <w:rPr>
                <w:rFonts w:ascii="Calibri" w:eastAsia="Calibri" w:hAnsi="Calibri" w:cs="Calibri"/>
                <w:b/>
                <w:bCs/>
                <w:color w:val="0D2240"/>
                <w:sz w:val="21"/>
                <w:szCs w:val="21"/>
              </w:rPr>
              <w:t>Airport Configuration Overview</w:t>
            </w:r>
          </w:p>
        </w:tc>
        <w:tc>
          <w:tcPr>
            <w:tcW w:w="500" w:type="pct"/>
            <w:shd w:val="clear" w:color="auto" w:fill="CCD9EA"/>
            <w:tcMar>
              <w:top w:w="75" w:type="dxa"/>
              <w:left w:w="105" w:type="dxa"/>
              <w:bottom w:w="75" w:type="dxa"/>
              <w:right w:w="105" w:type="dxa"/>
            </w:tcMar>
          </w:tcPr>
          <w:p w14:paraId="535E9E5C" w14:textId="77777777" w:rsidR="00CC3B7D" w:rsidRDefault="007B010E">
            <w:r>
              <w:rPr>
                <w:rFonts w:ascii="Calibri" w:eastAsia="Calibri" w:hAnsi="Calibri" w:cs="Calibri"/>
                <w:b/>
                <w:bCs/>
                <w:color w:val="0D2240"/>
                <w:sz w:val="21"/>
                <w:szCs w:val="21"/>
              </w:rPr>
              <w:t>3</w:t>
            </w:r>
          </w:p>
        </w:tc>
      </w:tr>
    </w:tbl>
    <w:p w14:paraId="535E9E5E" w14:textId="77777777" w:rsidR="00CC3B7D" w:rsidRDefault="00CC3B7D">
      <w:pPr>
        <w:spacing w:after="200"/>
      </w:pPr>
    </w:p>
    <w:p w14:paraId="535E9E5F" w14:textId="77777777" w:rsidR="00CC3B7D" w:rsidRDefault="00CC3B7D">
      <w:pPr>
        <w:pBdr>
          <w:bottom w:val="single" w:sz="6" w:space="0" w:color="000000"/>
        </w:pBdr>
        <w:spacing w:before="240" w:after="240"/>
      </w:pPr>
    </w:p>
    <w:p w14:paraId="535E9E60"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776"/>
        <w:gridCol w:w="6732"/>
        <w:gridCol w:w="842"/>
      </w:tblGrid>
      <w:tr w:rsidR="00CC3B7D" w14:paraId="535E9E64" w14:textId="77777777">
        <w:tblPrEx>
          <w:tblCellMar>
            <w:top w:w="0" w:type="dxa"/>
            <w:bottom w:w="0" w:type="dxa"/>
          </w:tblCellMar>
        </w:tblPrEx>
        <w:trPr>
          <w:tblHeader/>
        </w:trPr>
        <w:tc>
          <w:tcPr>
            <w:tcW w:w="950" w:type="pct"/>
            <w:shd w:val="clear" w:color="auto" w:fill="CCD9EA"/>
            <w:tcMar>
              <w:top w:w="75" w:type="dxa"/>
              <w:left w:w="105" w:type="dxa"/>
              <w:bottom w:w="75" w:type="dxa"/>
              <w:right w:w="105" w:type="dxa"/>
            </w:tcMar>
          </w:tcPr>
          <w:p w14:paraId="535E9E61" w14:textId="77777777" w:rsidR="00CC3B7D" w:rsidRDefault="007B010E">
            <w:r>
              <w:rPr>
                <w:rFonts w:ascii="Calibri" w:eastAsia="Calibri" w:hAnsi="Calibri" w:cs="Calibri"/>
                <w:b/>
                <w:bCs/>
                <w:color w:val="0D2240"/>
                <w:sz w:val="21"/>
                <w:szCs w:val="21"/>
              </w:rPr>
              <w:t>Section 3</w:t>
            </w:r>
          </w:p>
        </w:tc>
        <w:tc>
          <w:tcPr>
            <w:tcW w:w="3600" w:type="pct"/>
            <w:shd w:val="clear" w:color="auto" w:fill="CCD9EA"/>
            <w:tcMar>
              <w:top w:w="75" w:type="dxa"/>
              <w:left w:w="105" w:type="dxa"/>
              <w:bottom w:w="75" w:type="dxa"/>
              <w:right w:w="105" w:type="dxa"/>
            </w:tcMar>
          </w:tcPr>
          <w:p w14:paraId="535E9E62" w14:textId="77777777" w:rsidR="00CC3B7D" w:rsidRDefault="007B010E">
            <w:r>
              <w:rPr>
                <w:rFonts w:ascii="Calibri" w:eastAsia="Calibri" w:hAnsi="Calibri" w:cs="Calibri"/>
                <w:b/>
                <w:bCs/>
                <w:color w:val="0D2240"/>
                <w:sz w:val="21"/>
                <w:szCs w:val="21"/>
              </w:rPr>
              <w:t>FAA 2016 Baseline Flow Rates</w:t>
            </w:r>
          </w:p>
        </w:tc>
        <w:tc>
          <w:tcPr>
            <w:tcW w:w="450" w:type="pct"/>
            <w:shd w:val="clear" w:color="auto" w:fill="CCD9EA"/>
            <w:tcMar>
              <w:top w:w="75" w:type="dxa"/>
              <w:left w:w="105" w:type="dxa"/>
              <w:bottom w:w="75" w:type="dxa"/>
              <w:right w:w="105" w:type="dxa"/>
            </w:tcMar>
          </w:tcPr>
          <w:p w14:paraId="535E9E63" w14:textId="77777777" w:rsidR="00CC3B7D" w:rsidRDefault="007B010E">
            <w:r>
              <w:rPr>
                <w:rFonts w:ascii="Calibri" w:eastAsia="Calibri" w:hAnsi="Calibri" w:cs="Calibri"/>
                <w:b/>
                <w:bCs/>
                <w:color w:val="0D2240"/>
                <w:sz w:val="21"/>
                <w:szCs w:val="21"/>
              </w:rPr>
              <w:t>4</w:t>
            </w:r>
          </w:p>
        </w:tc>
      </w:tr>
      <w:tr w:rsidR="00CC3B7D" w14:paraId="535E9E68" w14:textId="77777777">
        <w:tblPrEx>
          <w:tblCellMar>
            <w:top w:w="0" w:type="dxa"/>
            <w:bottom w:w="0" w:type="dxa"/>
          </w:tblCellMar>
        </w:tblPrEx>
        <w:tc>
          <w:tcPr>
            <w:tcW w:w="950" w:type="pct"/>
            <w:tcMar>
              <w:top w:w="75" w:type="dxa"/>
              <w:left w:w="105" w:type="dxa"/>
              <w:bottom w:w="75" w:type="dxa"/>
              <w:right w:w="105" w:type="dxa"/>
            </w:tcMar>
          </w:tcPr>
          <w:p w14:paraId="535E9E65" w14:textId="77777777" w:rsidR="00CC3B7D" w:rsidRDefault="00CC3B7D"/>
        </w:tc>
        <w:tc>
          <w:tcPr>
            <w:tcW w:w="3600" w:type="pct"/>
            <w:tcMar>
              <w:top w:w="75" w:type="dxa"/>
              <w:left w:w="105" w:type="dxa"/>
              <w:bottom w:w="75" w:type="dxa"/>
              <w:right w:w="105" w:type="dxa"/>
            </w:tcMar>
          </w:tcPr>
          <w:p w14:paraId="535E9E66" w14:textId="77777777" w:rsidR="00CC3B7D" w:rsidRDefault="007B010E">
            <w:r>
              <w:rPr>
                <w:rFonts w:ascii="Calibri" w:eastAsia="Calibri" w:hAnsi="Calibri" w:cs="Calibri"/>
                <w:color w:val="1A1A1A"/>
                <w:sz w:val="21"/>
                <w:szCs w:val="21"/>
              </w:rPr>
              <w:t>Table 3-1: FAA 2016 Baseline Hourly Flow Rates (SEA)</w:t>
            </w:r>
          </w:p>
        </w:tc>
        <w:tc>
          <w:tcPr>
            <w:tcW w:w="450" w:type="pct"/>
            <w:tcMar>
              <w:top w:w="75" w:type="dxa"/>
              <w:left w:w="105" w:type="dxa"/>
              <w:bottom w:w="75" w:type="dxa"/>
              <w:right w:w="105" w:type="dxa"/>
            </w:tcMar>
          </w:tcPr>
          <w:p w14:paraId="535E9E67" w14:textId="77777777" w:rsidR="00CC3B7D" w:rsidRDefault="007B010E">
            <w:r>
              <w:rPr>
                <w:rFonts w:ascii="Calibri" w:eastAsia="Calibri" w:hAnsi="Calibri" w:cs="Calibri"/>
                <w:color w:val="5A6E82"/>
                <w:sz w:val="21"/>
                <w:szCs w:val="21"/>
              </w:rPr>
              <w:t>4</w:t>
            </w:r>
          </w:p>
        </w:tc>
      </w:tr>
    </w:tbl>
    <w:p w14:paraId="535E9E69" w14:textId="77777777" w:rsidR="00CC3B7D" w:rsidRDefault="00CC3B7D">
      <w:pPr>
        <w:spacing w:after="200"/>
      </w:pPr>
    </w:p>
    <w:p w14:paraId="535E9E6A" w14:textId="77777777" w:rsidR="00CC3B7D" w:rsidRDefault="00CC3B7D">
      <w:pPr>
        <w:pBdr>
          <w:bottom w:val="single" w:sz="6" w:space="0" w:color="000000"/>
        </w:pBdr>
        <w:spacing w:before="240" w:after="240"/>
      </w:pPr>
    </w:p>
    <w:p w14:paraId="535E9E6B"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869"/>
        <w:gridCol w:w="6639"/>
        <w:gridCol w:w="842"/>
      </w:tblGrid>
      <w:tr w:rsidR="00CC3B7D" w14:paraId="535E9E6F" w14:textId="77777777">
        <w:tblPrEx>
          <w:tblCellMar>
            <w:top w:w="0" w:type="dxa"/>
            <w:bottom w:w="0" w:type="dxa"/>
          </w:tblCellMar>
        </w:tblPrEx>
        <w:trPr>
          <w:tblHeader/>
        </w:trPr>
        <w:tc>
          <w:tcPr>
            <w:tcW w:w="1000" w:type="pct"/>
            <w:shd w:val="clear" w:color="auto" w:fill="CCD9EA"/>
            <w:tcMar>
              <w:top w:w="75" w:type="dxa"/>
              <w:left w:w="105" w:type="dxa"/>
              <w:bottom w:w="75" w:type="dxa"/>
              <w:right w:w="105" w:type="dxa"/>
            </w:tcMar>
          </w:tcPr>
          <w:p w14:paraId="535E9E6C" w14:textId="77777777" w:rsidR="00CC3B7D" w:rsidRDefault="007B010E">
            <w:r>
              <w:rPr>
                <w:rFonts w:ascii="Calibri" w:eastAsia="Calibri" w:hAnsi="Calibri" w:cs="Calibri"/>
                <w:b/>
                <w:bCs/>
                <w:color w:val="0D2240"/>
                <w:sz w:val="21"/>
                <w:szCs w:val="21"/>
              </w:rPr>
              <w:t>Section 4</w:t>
            </w:r>
          </w:p>
        </w:tc>
        <w:tc>
          <w:tcPr>
            <w:tcW w:w="3550" w:type="pct"/>
            <w:shd w:val="clear" w:color="auto" w:fill="CCD9EA"/>
            <w:tcMar>
              <w:top w:w="75" w:type="dxa"/>
              <w:left w:w="105" w:type="dxa"/>
              <w:bottom w:w="75" w:type="dxa"/>
              <w:right w:w="105" w:type="dxa"/>
            </w:tcMar>
          </w:tcPr>
          <w:p w14:paraId="535E9E6D" w14:textId="77777777" w:rsidR="00CC3B7D" w:rsidRDefault="007B010E">
            <w:r>
              <w:rPr>
                <w:rFonts w:ascii="Calibri" w:eastAsia="Calibri" w:hAnsi="Calibri" w:cs="Calibri"/>
                <w:b/>
                <w:bCs/>
                <w:color w:val="0D2240"/>
                <w:sz w:val="21"/>
                <w:szCs w:val="21"/>
              </w:rPr>
              <w:t>Updated Performance: 2024–2026</w:t>
            </w:r>
          </w:p>
        </w:tc>
        <w:tc>
          <w:tcPr>
            <w:tcW w:w="450" w:type="pct"/>
            <w:shd w:val="clear" w:color="auto" w:fill="CCD9EA"/>
            <w:tcMar>
              <w:top w:w="75" w:type="dxa"/>
              <w:left w:w="105" w:type="dxa"/>
              <w:bottom w:w="75" w:type="dxa"/>
              <w:right w:w="105" w:type="dxa"/>
            </w:tcMar>
          </w:tcPr>
          <w:p w14:paraId="535E9E6E" w14:textId="77777777" w:rsidR="00CC3B7D" w:rsidRDefault="007B010E">
            <w:r>
              <w:rPr>
                <w:rFonts w:ascii="Calibri" w:eastAsia="Calibri" w:hAnsi="Calibri" w:cs="Calibri"/>
                <w:b/>
                <w:bCs/>
                <w:color w:val="0D2240"/>
                <w:sz w:val="21"/>
                <w:szCs w:val="21"/>
              </w:rPr>
              <w:t>4</w:t>
            </w:r>
          </w:p>
        </w:tc>
      </w:tr>
      <w:tr w:rsidR="00CC3B7D" w14:paraId="535E9E73" w14:textId="77777777">
        <w:tblPrEx>
          <w:tblCellMar>
            <w:top w:w="0" w:type="dxa"/>
            <w:bottom w:w="0" w:type="dxa"/>
          </w:tblCellMar>
        </w:tblPrEx>
        <w:tc>
          <w:tcPr>
            <w:tcW w:w="1000" w:type="pct"/>
            <w:tcMar>
              <w:top w:w="75" w:type="dxa"/>
              <w:left w:w="105" w:type="dxa"/>
              <w:bottom w:w="75" w:type="dxa"/>
              <w:right w:w="105" w:type="dxa"/>
            </w:tcMar>
          </w:tcPr>
          <w:p w14:paraId="535E9E70" w14:textId="77777777" w:rsidR="00CC3B7D" w:rsidRDefault="00CC3B7D"/>
        </w:tc>
        <w:tc>
          <w:tcPr>
            <w:tcW w:w="3550" w:type="pct"/>
            <w:tcMar>
              <w:top w:w="75" w:type="dxa"/>
              <w:left w:w="105" w:type="dxa"/>
              <w:bottom w:w="75" w:type="dxa"/>
              <w:right w:w="105" w:type="dxa"/>
            </w:tcMar>
          </w:tcPr>
          <w:p w14:paraId="535E9E71" w14:textId="77777777" w:rsidR="00CC3B7D" w:rsidRDefault="007B010E">
            <w:r>
              <w:rPr>
                <w:rFonts w:ascii="Calibri" w:eastAsia="Calibri" w:hAnsi="Calibri" w:cs="Calibri"/>
                <w:color w:val="1A1A1A"/>
                <w:sz w:val="21"/>
                <w:szCs w:val="21"/>
              </w:rPr>
              <w:t>Table 4-1: Observed Hourly Throughput 2024–2026</w:t>
            </w:r>
          </w:p>
        </w:tc>
        <w:tc>
          <w:tcPr>
            <w:tcW w:w="450" w:type="pct"/>
            <w:tcMar>
              <w:top w:w="75" w:type="dxa"/>
              <w:left w:w="105" w:type="dxa"/>
              <w:bottom w:w="75" w:type="dxa"/>
              <w:right w:w="105" w:type="dxa"/>
            </w:tcMar>
          </w:tcPr>
          <w:p w14:paraId="535E9E72" w14:textId="77777777" w:rsidR="00CC3B7D" w:rsidRDefault="007B010E">
            <w:r>
              <w:rPr>
                <w:rFonts w:ascii="Calibri" w:eastAsia="Calibri" w:hAnsi="Calibri" w:cs="Calibri"/>
                <w:color w:val="5A6E82"/>
                <w:sz w:val="21"/>
                <w:szCs w:val="21"/>
              </w:rPr>
              <w:t>4</w:t>
            </w:r>
          </w:p>
        </w:tc>
      </w:tr>
    </w:tbl>
    <w:p w14:paraId="535E9E74" w14:textId="77777777" w:rsidR="00CC3B7D" w:rsidRDefault="00CC3B7D">
      <w:pPr>
        <w:spacing w:after="200"/>
      </w:pPr>
    </w:p>
    <w:p w14:paraId="535E9E75" w14:textId="77777777" w:rsidR="00CC3B7D" w:rsidRDefault="00CC3B7D">
      <w:pPr>
        <w:pBdr>
          <w:bottom w:val="single" w:sz="6" w:space="0" w:color="000000"/>
        </w:pBdr>
        <w:spacing w:before="240" w:after="240"/>
      </w:pPr>
    </w:p>
    <w:p w14:paraId="535E9E76"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682"/>
        <w:gridCol w:w="6826"/>
        <w:gridCol w:w="842"/>
      </w:tblGrid>
      <w:tr w:rsidR="00CC3B7D" w14:paraId="535E9E7A" w14:textId="77777777">
        <w:tblPrEx>
          <w:tblCellMar>
            <w:top w:w="0" w:type="dxa"/>
            <w:bottom w:w="0" w:type="dxa"/>
          </w:tblCellMar>
        </w:tblPrEx>
        <w:trPr>
          <w:tblHeader/>
        </w:trPr>
        <w:tc>
          <w:tcPr>
            <w:tcW w:w="900" w:type="pct"/>
            <w:shd w:val="clear" w:color="auto" w:fill="CCD9EA"/>
            <w:tcMar>
              <w:top w:w="75" w:type="dxa"/>
              <w:left w:w="105" w:type="dxa"/>
              <w:bottom w:w="75" w:type="dxa"/>
              <w:right w:w="105" w:type="dxa"/>
            </w:tcMar>
          </w:tcPr>
          <w:p w14:paraId="535E9E77" w14:textId="77777777" w:rsidR="00CC3B7D" w:rsidRDefault="007B010E">
            <w:r>
              <w:rPr>
                <w:rFonts w:ascii="Calibri" w:eastAsia="Calibri" w:hAnsi="Calibri" w:cs="Calibri"/>
                <w:b/>
                <w:bCs/>
                <w:color w:val="0D2240"/>
                <w:sz w:val="21"/>
                <w:szCs w:val="21"/>
              </w:rPr>
              <w:t>Section 5</w:t>
            </w:r>
          </w:p>
        </w:tc>
        <w:tc>
          <w:tcPr>
            <w:tcW w:w="3650" w:type="pct"/>
            <w:shd w:val="clear" w:color="auto" w:fill="CCD9EA"/>
            <w:tcMar>
              <w:top w:w="75" w:type="dxa"/>
              <w:left w:w="105" w:type="dxa"/>
              <w:bottom w:w="75" w:type="dxa"/>
              <w:right w:w="105" w:type="dxa"/>
            </w:tcMar>
          </w:tcPr>
          <w:p w14:paraId="535E9E78" w14:textId="77777777" w:rsidR="00CC3B7D" w:rsidRDefault="007B010E">
            <w:r>
              <w:rPr>
                <w:rFonts w:ascii="Calibri" w:eastAsia="Calibri" w:hAnsi="Calibri" w:cs="Calibri"/>
                <w:b/>
                <w:bCs/>
                <w:color w:val="0D2240"/>
                <w:sz w:val="21"/>
                <w:szCs w:val="21"/>
              </w:rPr>
              <w:t>Current Capacity Improvements at SEA</w:t>
            </w:r>
          </w:p>
        </w:tc>
        <w:tc>
          <w:tcPr>
            <w:tcW w:w="450" w:type="pct"/>
            <w:shd w:val="clear" w:color="auto" w:fill="CCD9EA"/>
            <w:tcMar>
              <w:top w:w="75" w:type="dxa"/>
              <w:left w:w="105" w:type="dxa"/>
              <w:bottom w:w="75" w:type="dxa"/>
              <w:right w:w="105" w:type="dxa"/>
            </w:tcMar>
          </w:tcPr>
          <w:p w14:paraId="535E9E79" w14:textId="77777777" w:rsidR="00CC3B7D" w:rsidRDefault="007B010E">
            <w:r>
              <w:rPr>
                <w:rFonts w:ascii="Calibri" w:eastAsia="Calibri" w:hAnsi="Calibri" w:cs="Calibri"/>
                <w:b/>
                <w:bCs/>
                <w:color w:val="0D2240"/>
                <w:sz w:val="21"/>
                <w:szCs w:val="21"/>
              </w:rPr>
              <w:t>5</w:t>
            </w:r>
          </w:p>
        </w:tc>
      </w:tr>
      <w:tr w:rsidR="00CC3B7D" w14:paraId="535E9E7E" w14:textId="77777777">
        <w:tblPrEx>
          <w:tblCellMar>
            <w:top w:w="0" w:type="dxa"/>
            <w:bottom w:w="0" w:type="dxa"/>
          </w:tblCellMar>
        </w:tblPrEx>
        <w:tc>
          <w:tcPr>
            <w:tcW w:w="900" w:type="pct"/>
            <w:tcMar>
              <w:top w:w="75" w:type="dxa"/>
              <w:left w:w="105" w:type="dxa"/>
              <w:bottom w:w="75" w:type="dxa"/>
              <w:right w:w="105" w:type="dxa"/>
            </w:tcMar>
          </w:tcPr>
          <w:p w14:paraId="535E9E7B" w14:textId="77777777" w:rsidR="00CC3B7D" w:rsidRDefault="00CC3B7D"/>
        </w:tc>
        <w:tc>
          <w:tcPr>
            <w:tcW w:w="3650" w:type="pct"/>
            <w:tcMar>
              <w:top w:w="75" w:type="dxa"/>
              <w:left w:w="105" w:type="dxa"/>
              <w:bottom w:w="75" w:type="dxa"/>
              <w:right w:w="105" w:type="dxa"/>
            </w:tcMar>
          </w:tcPr>
          <w:p w14:paraId="535E9E7C" w14:textId="77777777" w:rsidR="00CC3B7D" w:rsidRDefault="007B010E">
            <w:r>
              <w:rPr>
                <w:rFonts w:ascii="Calibri" w:eastAsia="Calibri" w:hAnsi="Calibri" w:cs="Calibri"/>
                <w:color w:val="1A1A1A"/>
                <w:sz w:val="21"/>
                <w:szCs w:val="21"/>
              </w:rPr>
              <w:t>Table 5-1: Current Capacity Improvements — Estimated Impact</w:t>
            </w:r>
          </w:p>
        </w:tc>
        <w:tc>
          <w:tcPr>
            <w:tcW w:w="450" w:type="pct"/>
            <w:tcMar>
              <w:top w:w="75" w:type="dxa"/>
              <w:left w:w="105" w:type="dxa"/>
              <w:bottom w:w="75" w:type="dxa"/>
              <w:right w:w="105" w:type="dxa"/>
            </w:tcMar>
          </w:tcPr>
          <w:p w14:paraId="535E9E7D" w14:textId="77777777" w:rsidR="00CC3B7D" w:rsidRDefault="007B010E">
            <w:r>
              <w:rPr>
                <w:rFonts w:ascii="Calibri" w:eastAsia="Calibri" w:hAnsi="Calibri" w:cs="Calibri"/>
                <w:color w:val="5A6E82"/>
                <w:sz w:val="21"/>
                <w:szCs w:val="21"/>
              </w:rPr>
              <w:t>5</w:t>
            </w:r>
          </w:p>
        </w:tc>
      </w:tr>
    </w:tbl>
    <w:p w14:paraId="535E9E7F" w14:textId="77777777" w:rsidR="00CC3B7D" w:rsidRDefault="00CC3B7D">
      <w:pPr>
        <w:spacing w:after="200"/>
      </w:pPr>
    </w:p>
    <w:p w14:paraId="535E9E80" w14:textId="77777777" w:rsidR="00CC3B7D" w:rsidRDefault="00CC3B7D">
      <w:pPr>
        <w:pBdr>
          <w:bottom w:val="single" w:sz="6" w:space="0" w:color="000000"/>
        </w:pBdr>
        <w:spacing w:before="240" w:after="240"/>
      </w:pPr>
    </w:p>
    <w:p w14:paraId="535E9E81"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589"/>
        <w:gridCol w:w="6919"/>
        <w:gridCol w:w="842"/>
      </w:tblGrid>
      <w:tr w:rsidR="00CC3B7D" w14:paraId="535E9E85" w14:textId="77777777">
        <w:tblPrEx>
          <w:tblCellMar>
            <w:top w:w="0" w:type="dxa"/>
            <w:bottom w:w="0" w:type="dxa"/>
          </w:tblCellMar>
        </w:tblPrEx>
        <w:trPr>
          <w:tblHeader/>
        </w:trPr>
        <w:tc>
          <w:tcPr>
            <w:tcW w:w="850" w:type="pct"/>
            <w:shd w:val="clear" w:color="auto" w:fill="CCD9EA"/>
            <w:tcMar>
              <w:top w:w="75" w:type="dxa"/>
              <w:left w:w="105" w:type="dxa"/>
              <w:bottom w:w="75" w:type="dxa"/>
              <w:right w:w="105" w:type="dxa"/>
            </w:tcMar>
          </w:tcPr>
          <w:p w14:paraId="535E9E82" w14:textId="77777777" w:rsidR="00CC3B7D" w:rsidRDefault="007B010E">
            <w:r>
              <w:rPr>
                <w:rFonts w:ascii="Calibri" w:eastAsia="Calibri" w:hAnsi="Calibri" w:cs="Calibri"/>
                <w:b/>
                <w:bCs/>
                <w:color w:val="0D2240"/>
                <w:sz w:val="21"/>
                <w:szCs w:val="21"/>
              </w:rPr>
              <w:t>Section 6</w:t>
            </w:r>
          </w:p>
        </w:tc>
        <w:tc>
          <w:tcPr>
            <w:tcW w:w="3700" w:type="pct"/>
            <w:shd w:val="clear" w:color="auto" w:fill="CCD9EA"/>
            <w:tcMar>
              <w:top w:w="75" w:type="dxa"/>
              <w:left w:w="105" w:type="dxa"/>
              <w:bottom w:w="75" w:type="dxa"/>
              <w:right w:w="105" w:type="dxa"/>
            </w:tcMar>
          </w:tcPr>
          <w:p w14:paraId="535E9E83" w14:textId="77777777" w:rsidR="00CC3B7D" w:rsidRDefault="007B010E">
            <w:r>
              <w:rPr>
                <w:rFonts w:ascii="Calibri" w:eastAsia="Calibri" w:hAnsi="Calibri" w:cs="Calibri"/>
                <w:b/>
                <w:bCs/>
                <w:color w:val="0D2240"/>
                <w:sz w:val="21"/>
                <w:szCs w:val="21"/>
              </w:rPr>
              <w:t>Annual Operations Translation</w:t>
            </w:r>
          </w:p>
        </w:tc>
        <w:tc>
          <w:tcPr>
            <w:tcW w:w="450" w:type="pct"/>
            <w:shd w:val="clear" w:color="auto" w:fill="CCD9EA"/>
            <w:tcMar>
              <w:top w:w="75" w:type="dxa"/>
              <w:left w:w="105" w:type="dxa"/>
              <w:bottom w:w="75" w:type="dxa"/>
              <w:right w:w="105" w:type="dxa"/>
            </w:tcMar>
          </w:tcPr>
          <w:p w14:paraId="535E9E84" w14:textId="77777777" w:rsidR="00CC3B7D" w:rsidRDefault="007B010E">
            <w:r>
              <w:rPr>
                <w:rFonts w:ascii="Calibri" w:eastAsia="Calibri" w:hAnsi="Calibri" w:cs="Calibri"/>
                <w:b/>
                <w:bCs/>
                <w:color w:val="0D2240"/>
                <w:sz w:val="21"/>
                <w:szCs w:val="21"/>
              </w:rPr>
              <w:t>5</w:t>
            </w:r>
          </w:p>
        </w:tc>
      </w:tr>
      <w:tr w:rsidR="00CC3B7D" w14:paraId="535E9E89" w14:textId="77777777">
        <w:tblPrEx>
          <w:tblCellMar>
            <w:top w:w="0" w:type="dxa"/>
            <w:bottom w:w="0" w:type="dxa"/>
          </w:tblCellMar>
        </w:tblPrEx>
        <w:tc>
          <w:tcPr>
            <w:tcW w:w="850" w:type="pct"/>
            <w:tcMar>
              <w:top w:w="75" w:type="dxa"/>
              <w:left w:w="105" w:type="dxa"/>
              <w:bottom w:w="75" w:type="dxa"/>
              <w:right w:w="105" w:type="dxa"/>
            </w:tcMar>
          </w:tcPr>
          <w:p w14:paraId="535E9E86" w14:textId="77777777" w:rsidR="00CC3B7D" w:rsidRDefault="00CC3B7D"/>
        </w:tc>
        <w:tc>
          <w:tcPr>
            <w:tcW w:w="3700" w:type="pct"/>
            <w:tcMar>
              <w:top w:w="75" w:type="dxa"/>
              <w:left w:w="105" w:type="dxa"/>
              <w:bottom w:w="75" w:type="dxa"/>
              <w:right w:w="105" w:type="dxa"/>
            </w:tcMar>
          </w:tcPr>
          <w:p w14:paraId="535E9E87" w14:textId="77777777" w:rsidR="00CC3B7D" w:rsidRDefault="007B010E">
            <w:r>
              <w:rPr>
                <w:rFonts w:ascii="Calibri" w:eastAsia="Calibri" w:hAnsi="Calibri" w:cs="Calibri"/>
                <w:color w:val="1A1A1A"/>
                <w:sz w:val="21"/>
                <w:szCs w:val="21"/>
              </w:rPr>
              <w:t>Table 6-1: Annual Operations Translation – Methodology Parameters</w:t>
            </w:r>
          </w:p>
        </w:tc>
        <w:tc>
          <w:tcPr>
            <w:tcW w:w="450" w:type="pct"/>
            <w:tcMar>
              <w:top w:w="75" w:type="dxa"/>
              <w:left w:w="105" w:type="dxa"/>
              <w:bottom w:w="75" w:type="dxa"/>
              <w:right w:w="105" w:type="dxa"/>
            </w:tcMar>
          </w:tcPr>
          <w:p w14:paraId="535E9E88" w14:textId="77777777" w:rsidR="00CC3B7D" w:rsidRDefault="007B010E">
            <w:r>
              <w:rPr>
                <w:rFonts w:ascii="Calibri" w:eastAsia="Calibri" w:hAnsi="Calibri" w:cs="Calibri"/>
                <w:color w:val="5A6E82"/>
                <w:sz w:val="21"/>
                <w:szCs w:val="21"/>
              </w:rPr>
              <w:t>6</w:t>
            </w:r>
          </w:p>
        </w:tc>
      </w:tr>
    </w:tbl>
    <w:p w14:paraId="535E9E8A" w14:textId="77777777" w:rsidR="00CC3B7D" w:rsidRDefault="00CC3B7D">
      <w:pPr>
        <w:spacing w:after="200"/>
      </w:pPr>
    </w:p>
    <w:p w14:paraId="535E9E8B" w14:textId="77777777" w:rsidR="00CC3B7D" w:rsidRDefault="00CC3B7D">
      <w:pPr>
        <w:pBdr>
          <w:bottom w:val="single" w:sz="6" w:space="0" w:color="000000"/>
        </w:pBdr>
        <w:spacing w:before="240" w:after="240"/>
      </w:pPr>
    </w:p>
    <w:p w14:paraId="535E9E8C"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2337"/>
        <w:gridCol w:w="6078"/>
        <w:gridCol w:w="935"/>
      </w:tblGrid>
      <w:tr w:rsidR="00CC3B7D" w14:paraId="535E9E90" w14:textId="77777777">
        <w:tblPrEx>
          <w:tblCellMar>
            <w:top w:w="0" w:type="dxa"/>
            <w:bottom w:w="0" w:type="dxa"/>
          </w:tblCellMar>
        </w:tblPrEx>
        <w:trPr>
          <w:tblHeader/>
        </w:trPr>
        <w:tc>
          <w:tcPr>
            <w:tcW w:w="1250" w:type="pct"/>
            <w:shd w:val="clear" w:color="auto" w:fill="CCD9EA"/>
            <w:tcMar>
              <w:top w:w="75" w:type="dxa"/>
              <w:left w:w="105" w:type="dxa"/>
              <w:bottom w:w="75" w:type="dxa"/>
              <w:right w:w="105" w:type="dxa"/>
            </w:tcMar>
          </w:tcPr>
          <w:p w14:paraId="535E9E8D" w14:textId="77777777" w:rsidR="00CC3B7D" w:rsidRDefault="007B010E">
            <w:r>
              <w:rPr>
                <w:rFonts w:ascii="Calibri" w:eastAsia="Calibri" w:hAnsi="Calibri" w:cs="Calibri"/>
                <w:b/>
                <w:bCs/>
                <w:color w:val="0D2240"/>
                <w:sz w:val="21"/>
                <w:szCs w:val="21"/>
              </w:rPr>
              <w:t>Section 7</w:t>
            </w:r>
          </w:p>
        </w:tc>
        <w:tc>
          <w:tcPr>
            <w:tcW w:w="3250" w:type="pct"/>
            <w:shd w:val="clear" w:color="auto" w:fill="CCD9EA"/>
            <w:tcMar>
              <w:top w:w="75" w:type="dxa"/>
              <w:left w:w="105" w:type="dxa"/>
              <w:bottom w:w="75" w:type="dxa"/>
              <w:right w:w="105" w:type="dxa"/>
            </w:tcMar>
          </w:tcPr>
          <w:p w14:paraId="535E9E8E" w14:textId="77777777" w:rsidR="00CC3B7D" w:rsidRDefault="007B010E">
            <w:r>
              <w:rPr>
                <w:rFonts w:ascii="Calibri" w:eastAsia="Calibri" w:hAnsi="Calibri" w:cs="Calibri"/>
                <w:b/>
                <w:bCs/>
                <w:color w:val="0D2240"/>
                <w:sz w:val="21"/>
                <w:szCs w:val="21"/>
              </w:rPr>
              <w:t>Scenario Definitions</w:t>
            </w:r>
          </w:p>
        </w:tc>
        <w:tc>
          <w:tcPr>
            <w:tcW w:w="500" w:type="pct"/>
            <w:shd w:val="clear" w:color="auto" w:fill="CCD9EA"/>
            <w:tcMar>
              <w:top w:w="75" w:type="dxa"/>
              <w:left w:w="105" w:type="dxa"/>
              <w:bottom w:w="75" w:type="dxa"/>
              <w:right w:w="105" w:type="dxa"/>
            </w:tcMar>
          </w:tcPr>
          <w:p w14:paraId="535E9E8F" w14:textId="77777777" w:rsidR="00CC3B7D" w:rsidRDefault="007B010E">
            <w:r>
              <w:rPr>
                <w:rFonts w:ascii="Calibri" w:eastAsia="Calibri" w:hAnsi="Calibri" w:cs="Calibri"/>
                <w:b/>
                <w:bCs/>
                <w:color w:val="0D2240"/>
                <w:sz w:val="21"/>
                <w:szCs w:val="21"/>
              </w:rPr>
              <w:t>6</w:t>
            </w:r>
          </w:p>
        </w:tc>
      </w:tr>
      <w:tr w:rsidR="00CC3B7D" w14:paraId="535E9E94" w14:textId="77777777">
        <w:tblPrEx>
          <w:tblCellMar>
            <w:top w:w="0" w:type="dxa"/>
            <w:bottom w:w="0" w:type="dxa"/>
          </w:tblCellMar>
        </w:tblPrEx>
        <w:tc>
          <w:tcPr>
            <w:tcW w:w="1250" w:type="pct"/>
            <w:tcMar>
              <w:top w:w="75" w:type="dxa"/>
              <w:left w:w="105" w:type="dxa"/>
              <w:bottom w:w="75" w:type="dxa"/>
              <w:right w:w="105" w:type="dxa"/>
            </w:tcMar>
          </w:tcPr>
          <w:p w14:paraId="535E9E91" w14:textId="77777777" w:rsidR="00CC3B7D" w:rsidRDefault="00CC3B7D"/>
        </w:tc>
        <w:tc>
          <w:tcPr>
            <w:tcW w:w="3250" w:type="pct"/>
            <w:tcMar>
              <w:top w:w="75" w:type="dxa"/>
              <w:left w:w="105" w:type="dxa"/>
              <w:bottom w:w="75" w:type="dxa"/>
              <w:right w:w="105" w:type="dxa"/>
            </w:tcMar>
          </w:tcPr>
          <w:p w14:paraId="535E9E92" w14:textId="77777777" w:rsidR="00CC3B7D" w:rsidRDefault="007B010E">
            <w:r>
              <w:rPr>
                <w:rFonts w:ascii="Calibri" w:eastAsia="Calibri" w:hAnsi="Calibri" w:cs="Calibri"/>
                <w:color w:val="1A1A1A"/>
                <w:sz w:val="21"/>
                <w:szCs w:val="21"/>
              </w:rPr>
              <w:t>Table 7-1: Scenario Definitions</w:t>
            </w:r>
          </w:p>
        </w:tc>
        <w:tc>
          <w:tcPr>
            <w:tcW w:w="500" w:type="pct"/>
            <w:tcMar>
              <w:top w:w="75" w:type="dxa"/>
              <w:left w:w="105" w:type="dxa"/>
              <w:bottom w:w="75" w:type="dxa"/>
              <w:right w:w="105" w:type="dxa"/>
            </w:tcMar>
          </w:tcPr>
          <w:p w14:paraId="535E9E93" w14:textId="77777777" w:rsidR="00CC3B7D" w:rsidRDefault="007B010E">
            <w:r>
              <w:rPr>
                <w:rFonts w:ascii="Calibri" w:eastAsia="Calibri" w:hAnsi="Calibri" w:cs="Calibri"/>
                <w:color w:val="5A6E82"/>
                <w:sz w:val="21"/>
                <w:szCs w:val="21"/>
              </w:rPr>
              <w:t>6</w:t>
            </w:r>
          </w:p>
        </w:tc>
      </w:tr>
    </w:tbl>
    <w:p w14:paraId="535E9E95" w14:textId="77777777" w:rsidR="00CC3B7D" w:rsidRDefault="00CC3B7D">
      <w:pPr>
        <w:spacing w:after="200"/>
      </w:pPr>
    </w:p>
    <w:p w14:paraId="535E9E96" w14:textId="77777777" w:rsidR="00CC3B7D" w:rsidRDefault="00CC3B7D">
      <w:pPr>
        <w:pBdr>
          <w:bottom w:val="single" w:sz="6" w:space="0" w:color="000000"/>
        </w:pBdr>
        <w:spacing w:before="240" w:after="240"/>
      </w:pPr>
    </w:p>
    <w:p w14:paraId="535E9E97"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776"/>
        <w:gridCol w:w="6732"/>
        <w:gridCol w:w="842"/>
      </w:tblGrid>
      <w:tr w:rsidR="00CC3B7D" w14:paraId="535E9E9B" w14:textId="77777777">
        <w:tblPrEx>
          <w:tblCellMar>
            <w:top w:w="0" w:type="dxa"/>
            <w:bottom w:w="0" w:type="dxa"/>
          </w:tblCellMar>
        </w:tblPrEx>
        <w:trPr>
          <w:tblHeader/>
        </w:trPr>
        <w:tc>
          <w:tcPr>
            <w:tcW w:w="950" w:type="pct"/>
            <w:shd w:val="clear" w:color="auto" w:fill="CCD9EA"/>
            <w:tcMar>
              <w:top w:w="75" w:type="dxa"/>
              <w:left w:w="105" w:type="dxa"/>
              <w:bottom w:w="75" w:type="dxa"/>
              <w:right w:w="105" w:type="dxa"/>
            </w:tcMar>
          </w:tcPr>
          <w:p w14:paraId="535E9E98" w14:textId="77777777" w:rsidR="00CC3B7D" w:rsidRDefault="007B010E">
            <w:r>
              <w:rPr>
                <w:rFonts w:ascii="Calibri" w:eastAsia="Calibri" w:hAnsi="Calibri" w:cs="Calibri"/>
                <w:b/>
                <w:bCs/>
                <w:color w:val="0D2240"/>
                <w:sz w:val="21"/>
                <w:szCs w:val="21"/>
              </w:rPr>
              <w:t>Section 8</w:t>
            </w:r>
          </w:p>
        </w:tc>
        <w:tc>
          <w:tcPr>
            <w:tcW w:w="3600" w:type="pct"/>
            <w:shd w:val="clear" w:color="auto" w:fill="CCD9EA"/>
            <w:tcMar>
              <w:top w:w="75" w:type="dxa"/>
              <w:left w:w="105" w:type="dxa"/>
              <w:bottom w:w="75" w:type="dxa"/>
              <w:right w:w="105" w:type="dxa"/>
            </w:tcMar>
          </w:tcPr>
          <w:p w14:paraId="535E9E99" w14:textId="77777777" w:rsidR="00CC3B7D" w:rsidRDefault="007B010E">
            <w:r>
              <w:rPr>
                <w:rFonts w:ascii="Calibri" w:eastAsia="Calibri" w:hAnsi="Calibri" w:cs="Calibri"/>
                <w:b/>
                <w:bCs/>
                <w:color w:val="0D2240"/>
                <w:sz w:val="21"/>
                <w:szCs w:val="21"/>
              </w:rPr>
              <w:t>Constrained vs. Unconstrained Projections through 2037</w:t>
            </w:r>
          </w:p>
        </w:tc>
        <w:tc>
          <w:tcPr>
            <w:tcW w:w="450" w:type="pct"/>
            <w:shd w:val="clear" w:color="auto" w:fill="CCD9EA"/>
            <w:tcMar>
              <w:top w:w="75" w:type="dxa"/>
              <w:left w:w="105" w:type="dxa"/>
              <w:bottom w:w="75" w:type="dxa"/>
              <w:right w:w="105" w:type="dxa"/>
            </w:tcMar>
          </w:tcPr>
          <w:p w14:paraId="535E9E9A" w14:textId="77777777" w:rsidR="00CC3B7D" w:rsidRDefault="007B010E">
            <w:r>
              <w:rPr>
                <w:rFonts w:ascii="Calibri" w:eastAsia="Calibri" w:hAnsi="Calibri" w:cs="Calibri"/>
                <w:b/>
                <w:bCs/>
                <w:color w:val="0D2240"/>
                <w:sz w:val="21"/>
                <w:szCs w:val="21"/>
              </w:rPr>
              <w:t>7</w:t>
            </w:r>
          </w:p>
        </w:tc>
      </w:tr>
      <w:tr w:rsidR="00CC3B7D" w14:paraId="535E9E9F" w14:textId="77777777">
        <w:tblPrEx>
          <w:tblCellMar>
            <w:top w:w="0" w:type="dxa"/>
            <w:bottom w:w="0" w:type="dxa"/>
          </w:tblCellMar>
        </w:tblPrEx>
        <w:tc>
          <w:tcPr>
            <w:tcW w:w="950" w:type="pct"/>
            <w:tcMar>
              <w:top w:w="75" w:type="dxa"/>
              <w:left w:w="105" w:type="dxa"/>
              <w:bottom w:w="75" w:type="dxa"/>
              <w:right w:w="105" w:type="dxa"/>
            </w:tcMar>
          </w:tcPr>
          <w:p w14:paraId="535E9E9C" w14:textId="77777777" w:rsidR="00CC3B7D" w:rsidRDefault="00CC3B7D"/>
        </w:tc>
        <w:tc>
          <w:tcPr>
            <w:tcW w:w="3600" w:type="pct"/>
            <w:tcMar>
              <w:top w:w="75" w:type="dxa"/>
              <w:left w:w="105" w:type="dxa"/>
              <w:bottom w:w="75" w:type="dxa"/>
              <w:right w:w="105" w:type="dxa"/>
            </w:tcMar>
          </w:tcPr>
          <w:p w14:paraId="535E9E9D" w14:textId="77777777" w:rsidR="00CC3B7D" w:rsidRDefault="007B010E">
            <w:r>
              <w:rPr>
                <w:rFonts w:ascii="Calibri" w:eastAsia="Calibri" w:hAnsi="Calibri" w:cs="Calibri"/>
                <w:color w:val="1A1A1A"/>
                <w:sz w:val="21"/>
                <w:szCs w:val="21"/>
              </w:rPr>
              <w:t>Table 8-1: SEA Annual Operations Projections 2024–2037</w:t>
            </w:r>
          </w:p>
        </w:tc>
        <w:tc>
          <w:tcPr>
            <w:tcW w:w="450" w:type="pct"/>
            <w:tcMar>
              <w:top w:w="75" w:type="dxa"/>
              <w:left w:w="105" w:type="dxa"/>
              <w:bottom w:w="75" w:type="dxa"/>
              <w:right w:w="105" w:type="dxa"/>
            </w:tcMar>
          </w:tcPr>
          <w:p w14:paraId="535E9E9E" w14:textId="77777777" w:rsidR="00CC3B7D" w:rsidRDefault="007B010E">
            <w:r>
              <w:rPr>
                <w:rFonts w:ascii="Calibri" w:eastAsia="Calibri" w:hAnsi="Calibri" w:cs="Calibri"/>
                <w:color w:val="5A6E82"/>
                <w:sz w:val="21"/>
                <w:szCs w:val="21"/>
              </w:rPr>
              <w:t>7</w:t>
            </w:r>
          </w:p>
        </w:tc>
      </w:tr>
    </w:tbl>
    <w:p w14:paraId="535E9EA0" w14:textId="77777777" w:rsidR="00CC3B7D" w:rsidRDefault="00CC3B7D">
      <w:pPr>
        <w:spacing w:after="200"/>
      </w:pPr>
    </w:p>
    <w:p w14:paraId="535E9EA1" w14:textId="77777777" w:rsidR="00CC3B7D" w:rsidRDefault="00CC3B7D">
      <w:pPr>
        <w:pBdr>
          <w:bottom w:val="single" w:sz="6" w:space="0" w:color="000000"/>
        </w:pBdr>
        <w:spacing w:before="240" w:after="240"/>
      </w:pPr>
    </w:p>
    <w:p w14:paraId="535E9EA2"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3085"/>
        <w:gridCol w:w="5236"/>
        <w:gridCol w:w="1029"/>
      </w:tblGrid>
      <w:tr w:rsidR="00CC3B7D" w14:paraId="535E9EA6" w14:textId="77777777">
        <w:tblPrEx>
          <w:tblCellMar>
            <w:top w:w="0" w:type="dxa"/>
            <w:bottom w:w="0" w:type="dxa"/>
          </w:tblCellMar>
        </w:tblPrEx>
        <w:trPr>
          <w:tblHeader/>
        </w:trPr>
        <w:tc>
          <w:tcPr>
            <w:tcW w:w="1650" w:type="pct"/>
            <w:shd w:val="clear" w:color="auto" w:fill="CCD9EA"/>
            <w:tcMar>
              <w:top w:w="75" w:type="dxa"/>
              <w:left w:w="105" w:type="dxa"/>
              <w:bottom w:w="75" w:type="dxa"/>
              <w:right w:w="105" w:type="dxa"/>
            </w:tcMar>
          </w:tcPr>
          <w:p w14:paraId="535E9EA3" w14:textId="77777777" w:rsidR="00CC3B7D" w:rsidRDefault="007B010E">
            <w:r>
              <w:rPr>
                <w:rFonts w:ascii="Calibri" w:eastAsia="Calibri" w:hAnsi="Calibri" w:cs="Calibri"/>
                <w:b/>
                <w:bCs/>
                <w:color w:val="0D2240"/>
                <w:sz w:val="21"/>
                <w:szCs w:val="21"/>
              </w:rPr>
              <w:t>Section 9</w:t>
            </w:r>
          </w:p>
        </w:tc>
        <w:tc>
          <w:tcPr>
            <w:tcW w:w="2800" w:type="pct"/>
            <w:shd w:val="clear" w:color="auto" w:fill="CCD9EA"/>
            <w:tcMar>
              <w:top w:w="75" w:type="dxa"/>
              <w:left w:w="105" w:type="dxa"/>
              <w:bottom w:w="75" w:type="dxa"/>
              <w:right w:w="105" w:type="dxa"/>
            </w:tcMar>
          </w:tcPr>
          <w:p w14:paraId="535E9EA4" w14:textId="77777777" w:rsidR="00CC3B7D" w:rsidRDefault="007B010E">
            <w:r>
              <w:rPr>
                <w:rFonts w:ascii="Calibri" w:eastAsia="Calibri" w:hAnsi="Calibri" w:cs="Calibri"/>
                <w:b/>
                <w:bCs/>
                <w:color w:val="0D2240"/>
                <w:sz w:val="21"/>
                <w:szCs w:val="21"/>
              </w:rPr>
              <w:t>Methodology Notes</w:t>
            </w:r>
          </w:p>
        </w:tc>
        <w:tc>
          <w:tcPr>
            <w:tcW w:w="550" w:type="pct"/>
            <w:shd w:val="clear" w:color="auto" w:fill="CCD9EA"/>
            <w:tcMar>
              <w:top w:w="75" w:type="dxa"/>
              <w:left w:w="105" w:type="dxa"/>
              <w:bottom w:w="75" w:type="dxa"/>
              <w:right w:w="105" w:type="dxa"/>
            </w:tcMar>
          </w:tcPr>
          <w:p w14:paraId="535E9EA5" w14:textId="77777777" w:rsidR="00CC3B7D" w:rsidRDefault="007B010E">
            <w:r>
              <w:rPr>
                <w:rFonts w:ascii="Calibri" w:eastAsia="Calibri" w:hAnsi="Calibri" w:cs="Calibri"/>
                <w:b/>
                <w:bCs/>
                <w:color w:val="0D2240"/>
                <w:sz w:val="21"/>
                <w:szCs w:val="21"/>
              </w:rPr>
              <w:t>8</w:t>
            </w:r>
          </w:p>
        </w:tc>
      </w:tr>
    </w:tbl>
    <w:p w14:paraId="535E9EA7" w14:textId="77777777" w:rsidR="00CC3B7D" w:rsidRDefault="00CC3B7D">
      <w:pPr>
        <w:spacing w:after="200"/>
      </w:pPr>
    </w:p>
    <w:p w14:paraId="535E9EA8" w14:textId="77777777" w:rsidR="00CC3B7D" w:rsidRDefault="00CC3B7D">
      <w:pPr>
        <w:pBdr>
          <w:bottom w:val="single" w:sz="6" w:space="0" w:color="000000"/>
        </w:pBdr>
        <w:spacing w:before="240" w:after="240"/>
      </w:pPr>
    </w:p>
    <w:p w14:paraId="535E9EA9"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4020"/>
        <w:gridCol w:w="4301"/>
        <w:gridCol w:w="1029"/>
      </w:tblGrid>
      <w:tr w:rsidR="00CC3B7D" w14:paraId="535E9EAD" w14:textId="77777777">
        <w:tblPrEx>
          <w:tblCellMar>
            <w:top w:w="0" w:type="dxa"/>
            <w:bottom w:w="0" w:type="dxa"/>
          </w:tblCellMar>
        </w:tblPrEx>
        <w:trPr>
          <w:tblHeader/>
        </w:trPr>
        <w:tc>
          <w:tcPr>
            <w:tcW w:w="2150" w:type="pct"/>
            <w:shd w:val="clear" w:color="auto" w:fill="CCD9EA"/>
            <w:tcMar>
              <w:top w:w="75" w:type="dxa"/>
              <w:left w:w="105" w:type="dxa"/>
              <w:bottom w:w="75" w:type="dxa"/>
              <w:right w:w="105" w:type="dxa"/>
            </w:tcMar>
          </w:tcPr>
          <w:p w14:paraId="535E9EAA" w14:textId="77777777" w:rsidR="00CC3B7D" w:rsidRDefault="007B010E">
            <w:r>
              <w:rPr>
                <w:rFonts w:ascii="Calibri" w:eastAsia="Calibri" w:hAnsi="Calibri" w:cs="Calibri"/>
                <w:b/>
                <w:bCs/>
                <w:color w:val="0D2240"/>
                <w:sz w:val="21"/>
                <w:szCs w:val="21"/>
              </w:rPr>
              <w:t>Section 10</w:t>
            </w:r>
          </w:p>
        </w:tc>
        <w:tc>
          <w:tcPr>
            <w:tcW w:w="2300" w:type="pct"/>
            <w:shd w:val="clear" w:color="auto" w:fill="CCD9EA"/>
            <w:tcMar>
              <w:top w:w="75" w:type="dxa"/>
              <w:left w:w="105" w:type="dxa"/>
              <w:bottom w:w="75" w:type="dxa"/>
              <w:right w:w="105" w:type="dxa"/>
            </w:tcMar>
          </w:tcPr>
          <w:p w14:paraId="535E9EAB" w14:textId="77777777" w:rsidR="00CC3B7D" w:rsidRDefault="007B010E">
            <w:r>
              <w:rPr>
                <w:rFonts w:ascii="Calibri" w:eastAsia="Calibri" w:hAnsi="Calibri" w:cs="Calibri"/>
                <w:b/>
                <w:bCs/>
                <w:color w:val="0D2240"/>
                <w:sz w:val="21"/>
                <w:szCs w:val="21"/>
              </w:rPr>
              <w:t>Assumptions</w:t>
            </w:r>
          </w:p>
        </w:tc>
        <w:tc>
          <w:tcPr>
            <w:tcW w:w="550" w:type="pct"/>
            <w:shd w:val="clear" w:color="auto" w:fill="CCD9EA"/>
            <w:tcMar>
              <w:top w:w="75" w:type="dxa"/>
              <w:left w:w="105" w:type="dxa"/>
              <w:bottom w:w="75" w:type="dxa"/>
              <w:right w:w="105" w:type="dxa"/>
            </w:tcMar>
          </w:tcPr>
          <w:p w14:paraId="535E9EAC" w14:textId="77777777" w:rsidR="00CC3B7D" w:rsidRDefault="007B010E">
            <w:r>
              <w:rPr>
                <w:rFonts w:ascii="Calibri" w:eastAsia="Calibri" w:hAnsi="Calibri" w:cs="Calibri"/>
                <w:b/>
                <w:bCs/>
                <w:color w:val="0D2240"/>
                <w:sz w:val="21"/>
                <w:szCs w:val="21"/>
              </w:rPr>
              <w:t>8</w:t>
            </w:r>
          </w:p>
        </w:tc>
      </w:tr>
    </w:tbl>
    <w:p w14:paraId="535E9EAE" w14:textId="77777777" w:rsidR="00CC3B7D" w:rsidRDefault="00CC3B7D">
      <w:pPr>
        <w:spacing w:after="200"/>
      </w:pPr>
    </w:p>
    <w:p w14:paraId="535E9EAF" w14:textId="77777777" w:rsidR="00CC3B7D" w:rsidRDefault="00CC3B7D">
      <w:pPr>
        <w:pBdr>
          <w:bottom w:val="single" w:sz="6" w:space="0" w:color="000000"/>
        </w:pBdr>
        <w:spacing w:before="240" w:after="240"/>
      </w:pPr>
    </w:p>
    <w:p w14:paraId="535E9EB0"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2805"/>
        <w:gridCol w:w="5610"/>
        <w:gridCol w:w="935"/>
      </w:tblGrid>
      <w:tr w:rsidR="00CC3B7D" w14:paraId="535E9EB4" w14:textId="77777777">
        <w:tblPrEx>
          <w:tblCellMar>
            <w:top w:w="0" w:type="dxa"/>
            <w:bottom w:w="0" w:type="dxa"/>
          </w:tblCellMar>
        </w:tblPrEx>
        <w:trPr>
          <w:tblHeader/>
        </w:trPr>
        <w:tc>
          <w:tcPr>
            <w:tcW w:w="1500" w:type="pct"/>
            <w:shd w:val="clear" w:color="auto" w:fill="CCD9EA"/>
            <w:tcMar>
              <w:top w:w="75" w:type="dxa"/>
              <w:left w:w="105" w:type="dxa"/>
              <w:bottom w:w="75" w:type="dxa"/>
              <w:right w:w="105" w:type="dxa"/>
            </w:tcMar>
          </w:tcPr>
          <w:p w14:paraId="535E9EB1" w14:textId="77777777" w:rsidR="00CC3B7D" w:rsidRDefault="007B010E">
            <w:r>
              <w:rPr>
                <w:rFonts w:ascii="Calibri" w:eastAsia="Calibri" w:hAnsi="Calibri" w:cs="Calibri"/>
                <w:b/>
                <w:bCs/>
                <w:color w:val="0D2240"/>
                <w:sz w:val="21"/>
                <w:szCs w:val="21"/>
              </w:rPr>
              <w:t>Section 11</w:t>
            </w:r>
          </w:p>
        </w:tc>
        <w:tc>
          <w:tcPr>
            <w:tcW w:w="3000" w:type="pct"/>
            <w:shd w:val="clear" w:color="auto" w:fill="CCD9EA"/>
            <w:tcMar>
              <w:top w:w="75" w:type="dxa"/>
              <w:left w:w="105" w:type="dxa"/>
              <w:bottom w:w="75" w:type="dxa"/>
              <w:right w:w="105" w:type="dxa"/>
            </w:tcMar>
          </w:tcPr>
          <w:p w14:paraId="535E9EB2" w14:textId="77777777" w:rsidR="00CC3B7D" w:rsidRDefault="007B010E">
            <w:r>
              <w:rPr>
                <w:rFonts w:ascii="Calibri" w:eastAsia="Calibri" w:hAnsi="Calibri" w:cs="Calibri"/>
                <w:b/>
                <w:bCs/>
                <w:color w:val="0D2240"/>
                <w:sz w:val="21"/>
                <w:szCs w:val="21"/>
              </w:rPr>
              <w:t>Data Sources</w:t>
            </w:r>
          </w:p>
        </w:tc>
        <w:tc>
          <w:tcPr>
            <w:tcW w:w="500" w:type="pct"/>
            <w:shd w:val="clear" w:color="auto" w:fill="CCD9EA"/>
            <w:tcMar>
              <w:top w:w="75" w:type="dxa"/>
              <w:left w:w="105" w:type="dxa"/>
              <w:bottom w:w="75" w:type="dxa"/>
              <w:right w:w="105" w:type="dxa"/>
            </w:tcMar>
          </w:tcPr>
          <w:p w14:paraId="535E9EB3" w14:textId="77777777" w:rsidR="00CC3B7D" w:rsidRDefault="007B010E">
            <w:r>
              <w:rPr>
                <w:rFonts w:ascii="Calibri" w:eastAsia="Calibri" w:hAnsi="Calibri" w:cs="Calibri"/>
                <w:b/>
                <w:bCs/>
                <w:color w:val="0D2240"/>
                <w:sz w:val="21"/>
                <w:szCs w:val="21"/>
              </w:rPr>
              <w:t>9</w:t>
            </w:r>
          </w:p>
        </w:tc>
      </w:tr>
      <w:tr w:rsidR="00CC3B7D" w14:paraId="535E9EB8" w14:textId="77777777">
        <w:tblPrEx>
          <w:tblCellMar>
            <w:top w:w="0" w:type="dxa"/>
            <w:bottom w:w="0" w:type="dxa"/>
          </w:tblCellMar>
        </w:tblPrEx>
        <w:tc>
          <w:tcPr>
            <w:tcW w:w="1500" w:type="pct"/>
            <w:tcMar>
              <w:top w:w="75" w:type="dxa"/>
              <w:left w:w="105" w:type="dxa"/>
              <w:bottom w:w="75" w:type="dxa"/>
              <w:right w:w="105" w:type="dxa"/>
            </w:tcMar>
          </w:tcPr>
          <w:p w14:paraId="535E9EB5" w14:textId="77777777" w:rsidR="00CC3B7D" w:rsidRDefault="00CC3B7D"/>
        </w:tc>
        <w:tc>
          <w:tcPr>
            <w:tcW w:w="3000" w:type="pct"/>
            <w:tcMar>
              <w:top w:w="75" w:type="dxa"/>
              <w:left w:w="105" w:type="dxa"/>
              <w:bottom w:w="75" w:type="dxa"/>
              <w:right w:w="105" w:type="dxa"/>
            </w:tcMar>
          </w:tcPr>
          <w:p w14:paraId="535E9EB6" w14:textId="77777777" w:rsidR="00CC3B7D" w:rsidRDefault="007B010E">
            <w:r>
              <w:rPr>
                <w:rFonts w:ascii="Calibri" w:eastAsia="Calibri" w:hAnsi="Calibri" w:cs="Calibri"/>
                <w:color w:val="1A1A1A"/>
                <w:sz w:val="21"/>
                <w:szCs w:val="21"/>
              </w:rPr>
              <w:t>Table 11-1: Data Sources</w:t>
            </w:r>
          </w:p>
        </w:tc>
        <w:tc>
          <w:tcPr>
            <w:tcW w:w="500" w:type="pct"/>
            <w:tcMar>
              <w:top w:w="75" w:type="dxa"/>
              <w:left w:w="105" w:type="dxa"/>
              <w:bottom w:w="75" w:type="dxa"/>
              <w:right w:w="105" w:type="dxa"/>
            </w:tcMar>
          </w:tcPr>
          <w:p w14:paraId="535E9EB7" w14:textId="77777777" w:rsidR="00CC3B7D" w:rsidRDefault="007B010E">
            <w:r>
              <w:rPr>
                <w:rFonts w:ascii="Calibri" w:eastAsia="Calibri" w:hAnsi="Calibri" w:cs="Calibri"/>
                <w:color w:val="5A6E82"/>
                <w:sz w:val="21"/>
                <w:szCs w:val="21"/>
              </w:rPr>
              <w:t>9</w:t>
            </w:r>
          </w:p>
        </w:tc>
      </w:tr>
    </w:tbl>
    <w:p w14:paraId="535E9EB9" w14:textId="77777777" w:rsidR="00CC3B7D" w:rsidRDefault="00CC3B7D">
      <w:pPr>
        <w:spacing w:after="200"/>
      </w:pPr>
    </w:p>
    <w:p w14:paraId="535E9EBA" w14:textId="77777777" w:rsidR="00CC3B7D" w:rsidRDefault="00CC3B7D">
      <w:pPr>
        <w:pBdr>
          <w:bottom w:val="single" w:sz="6" w:space="0" w:color="000000"/>
        </w:pBdr>
        <w:spacing w:before="240" w:after="240"/>
      </w:pPr>
    </w:p>
    <w:p w14:paraId="535E9EBB"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2150"/>
        <w:gridCol w:w="6358"/>
        <w:gridCol w:w="842"/>
      </w:tblGrid>
      <w:tr w:rsidR="00CC3B7D" w14:paraId="535E9EBF" w14:textId="77777777">
        <w:tblPrEx>
          <w:tblCellMar>
            <w:top w:w="0" w:type="dxa"/>
            <w:bottom w:w="0" w:type="dxa"/>
          </w:tblCellMar>
        </w:tblPrEx>
        <w:trPr>
          <w:tblHeader/>
        </w:trPr>
        <w:tc>
          <w:tcPr>
            <w:tcW w:w="1150" w:type="pct"/>
            <w:shd w:val="clear" w:color="auto" w:fill="CCD9EA"/>
            <w:tcMar>
              <w:top w:w="75" w:type="dxa"/>
              <w:left w:w="105" w:type="dxa"/>
              <w:bottom w:w="75" w:type="dxa"/>
              <w:right w:w="105" w:type="dxa"/>
            </w:tcMar>
          </w:tcPr>
          <w:p w14:paraId="535E9EBC" w14:textId="77777777" w:rsidR="00CC3B7D" w:rsidRDefault="007B010E">
            <w:r>
              <w:rPr>
                <w:rFonts w:ascii="Calibri" w:eastAsia="Calibri" w:hAnsi="Calibri" w:cs="Calibri"/>
                <w:b/>
                <w:bCs/>
                <w:color w:val="0D2240"/>
                <w:sz w:val="21"/>
                <w:szCs w:val="21"/>
              </w:rPr>
              <w:t>Section 12</w:t>
            </w:r>
          </w:p>
        </w:tc>
        <w:tc>
          <w:tcPr>
            <w:tcW w:w="3400" w:type="pct"/>
            <w:shd w:val="clear" w:color="auto" w:fill="CCD9EA"/>
            <w:tcMar>
              <w:top w:w="75" w:type="dxa"/>
              <w:left w:w="105" w:type="dxa"/>
              <w:bottom w:w="75" w:type="dxa"/>
              <w:right w:w="105" w:type="dxa"/>
            </w:tcMar>
          </w:tcPr>
          <w:p w14:paraId="535E9EBD" w14:textId="77777777" w:rsidR="00CC3B7D" w:rsidRDefault="007B010E">
            <w:r>
              <w:rPr>
                <w:rFonts w:ascii="Calibri" w:eastAsia="Calibri" w:hAnsi="Calibri" w:cs="Calibri"/>
                <w:b/>
                <w:bCs/>
                <w:color w:val="0D2240"/>
                <w:sz w:val="21"/>
                <w:szCs w:val="21"/>
              </w:rPr>
              <w:t>Definitions and Abbreviations</w:t>
            </w:r>
          </w:p>
        </w:tc>
        <w:tc>
          <w:tcPr>
            <w:tcW w:w="450" w:type="pct"/>
            <w:shd w:val="clear" w:color="auto" w:fill="CCD9EA"/>
            <w:tcMar>
              <w:top w:w="75" w:type="dxa"/>
              <w:left w:w="105" w:type="dxa"/>
              <w:bottom w:w="75" w:type="dxa"/>
              <w:right w:w="105" w:type="dxa"/>
            </w:tcMar>
          </w:tcPr>
          <w:p w14:paraId="535E9EBE" w14:textId="77777777" w:rsidR="00CC3B7D" w:rsidRDefault="007B010E">
            <w:r>
              <w:rPr>
                <w:rFonts w:ascii="Calibri" w:eastAsia="Calibri" w:hAnsi="Calibri" w:cs="Calibri"/>
                <w:b/>
                <w:bCs/>
                <w:color w:val="0D2240"/>
                <w:sz w:val="21"/>
                <w:szCs w:val="21"/>
              </w:rPr>
              <w:t>9</w:t>
            </w:r>
          </w:p>
        </w:tc>
      </w:tr>
      <w:tr w:rsidR="00CC3B7D" w14:paraId="535E9EC3" w14:textId="77777777">
        <w:tblPrEx>
          <w:tblCellMar>
            <w:top w:w="0" w:type="dxa"/>
            <w:bottom w:w="0" w:type="dxa"/>
          </w:tblCellMar>
        </w:tblPrEx>
        <w:tc>
          <w:tcPr>
            <w:tcW w:w="1150" w:type="pct"/>
            <w:tcMar>
              <w:top w:w="75" w:type="dxa"/>
              <w:left w:w="105" w:type="dxa"/>
              <w:bottom w:w="75" w:type="dxa"/>
              <w:right w:w="105" w:type="dxa"/>
            </w:tcMar>
          </w:tcPr>
          <w:p w14:paraId="535E9EC0" w14:textId="77777777" w:rsidR="00CC3B7D" w:rsidRDefault="00CC3B7D"/>
        </w:tc>
        <w:tc>
          <w:tcPr>
            <w:tcW w:w="3400" w:type="pct"/>
            <w:tcMar>
              <w:top w:w="75" w:type="dxa"/>
              <w:left w:w="105" w:type="dxa"/>
              <w:bottom w:w="75" w:type="dxa"/>
              <w:right w:w="105" w:type="dxa"/>
            </w:tcMar>
          </w:tcPr>
          <w:p w14:paraId="535E9EC1" w14:textId="77777777" w:rsidR="00CC3B7D" w:rsidRDefault="007B010E">
            <w:r>
              <w:rPr>
                <w:rFonts w:ascii="Calibri" w:eastAsia="Calibri" w:hAnsi="Calibri" w:cs="Calibri"/>
                <w:color w:val="1A1A1A"/>
                <w:sz w:val="21"/>
                <w:szCs w:val="21"/>
              </w:rPr>
              <w:t>Table 12-1: Definitions and Abbreviations</w:t>
            </w:r>
          </w:p>
        </w:tc>
        <w:tc>
          <w:tcPr>
            <w:tcW w:w="450" w:type="pct"/>
            <w:tcMar>
              <w:top w:w="75" w:type="dxa"/>
              <w:left w:w="105" w:type="dxa"/>
              <w:bottom w:w="75" w:type="dxa"/>
              <w:right w:w="105" w:type="dxa"/>
            </w:tcMar>
          </w:tcPr>
          <w:p w14:paraId="535E9EC2" w14:textId="77777777" w:rsidR="00CC3B7D" w:rsidRDefault="007B010E">
            <w:r>
              <w:rPr>
                <w:rFonts w:ascii="Calibri" w:eastAsia="Calibri" w:hAnsi="Calibri" w:cs="Calibri"/>
                <w:color w:val="5A6E82"/>
                <w:sz w:val="21"/>
                <w:szCs w:val="21"/>
              </w:rPr>
              <w:t>9</w:t>
            </w:r>
          </w:p>
        </w:tc>
      </w:tr>
    </w:tbl>
    <w:p w14:paraId="535E9EC4" w14:textId="77777777" w:rsidR="00CC3B7D" w:rsidRDefault="00CC3B7D">
      <w:pPr>
        <w:spacing w:after="200"/>
      </w:pPr>
    </w:p>
    <w:p w14:paraId="535E9EC5" w14:textId="77777777" w:rsidR="00CC3B7D" w:rsidRDefault="00CC3B7D">
      <w:pPr>
        <w:pBdr>
          <w:bottom w:val="single" w:sz="6" w:space="0" w:color="7F9FBF"/>
        </w:pBdr>
        <w:spacing w:before="240" w:after="240"/>
      </w:pPr>
    </w:p>
    <w:p w14:paraId="535E9EC6" w14:textId="77777777" w:rsidR="00CC3B7D" w:rsidRDefault="007B010E">
      <w:pPr>
        <w:spacing w:after="240" w:line="360" w:lineRule="auto"/>
        <w:jc w:val="center"/>
      </w:pPr>
      <w:r>
        <w:rPr>
          <w:rFonts w:ascii="Calibri" w:eastAsia="Calibri" w:hAnsi="Calibri" w:cs="Calibri"/>
          <w:color w:val="5A6E82"/>
          <w:sz w:val="17"/>
          <w:szCs w:val="17"/>
        </w:rPr>
        <w:t xml:space="preserve">Technical Appendix – SEA Airport Capacity </w:t>
      </w:r>
      <w:proofErr w:type="gramStart"/>
      <w:r>
        <w:rPr>
          <w:rFonts w:ascii="Calibri" w:eastAsia="Calibri" w:hAnsi="Calibri" w:cs="Calibri"/>
          <w:color w:val="5A6E82"/>
          <w:sz w:val="17"/>
          <w:szCs w:val="17"/>
        </w:rPr>
        <w:t>Analysis  |</w:t>
      </w:r>
      <w:proofErr w:type="gramEnd"/>
      <w:r>
        <w:rPr>
          <w:rFonts w:ascii="Calibri" w:eastAsia="Calibri" w:hAnsi="Calibri" w:cs="Calibri"/>
          <w:color w:val="5A6E82"/>
          <w:sz w:val="17"/>
          <w:szCs w:val="17"/>
        </w:rPr>
        <w:t xml:space="preserve">  Jeffery </w:t>
      </w:r>
      <w:proofErr w:type="gramStart"/>
      <w:r>
        <w:rPr>
          <w:rFonts w:ascii="Calibri" w:eastAsia="Calibri" w:hAnsi="Calibri" w:cs="Calibri"/>
          <w:color w:val="5A6E82"/>
          <w:sz w:val="17"/>
          <w:szCs w:val="17"/>
        </w:rPr>
        <w:t>Bogen  |</w:t>
      </w:r>
      <w:proofErr w:type="gramEnd"/>
      <w:r>
        <w:rPr>
          <w:rFonts w:ascii="Calibri" w:eastAsia="Calibri" w:hAnsi="Calibri" w:cs="Calibri"/>
          <w:color w:val="5A6E82"/>
          <w:sz w:val="17"/>
          <w:szCs w:val="17"/>
        </w:rPr>
        <w:t xml:space="preserve">  May 28, </w:t>
      </w:r>
      <w:proofErr w:type="gramStart"/>
      <w:r>
        <w:rPr>
          <w:rFonts w:ascii="Calibri" w:eastAsia="Calibri" w:hAnsi="Calibri" w:cs="Calibri"/>
          <w:color w:val="5A6E82"/>
          <w:sz w:val="17"/>
          <w:szCs w:val="17"/>
        </w:rPr>
        <w:t>2026  |</w:t>
      </w:r>
      <w:proofErr w:type="gramEnd"/>
      <w:r>
        <w:rPr>
          <w:rFonts w:ascii="Calibri" w:eastAsia="Calibri" w:hAnsi="Calibri" w:cs="Calibri"/>
          <w:color w:val="5A6E82"/>
          <w:sz w:val="17"/>
          <w:szCs w:val="17"/>
        </w:rPr>
        <w:t xml:space="preserve">  Port of Seattle / Aviation Planning Division</w:t>
      </w:r>
    </w:p>
    <w:p w14:paraId="535E9EC7" w14:textId="77777777" w:rsidR="00CC3B7D" w:rsidRDefault="00CC3B7D">
      <w:pPr>
        <w:pBdr>
          <w:bottom w:val="single" w:sz="6" w:space="0" w:color="000000"/>
        </w:pBdr>
        <w:spacing w:before="240" w:after="240"/>
      </w:pPr>
    </w:p>
    <w:p w14:paraId="535E9EC8" w14:textId="77777777" w:rsidR="00CC3B7D" w:rsidRDefault="00CC3B7D">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CC3B7D" w14:paraId="535E9ECB" w14:textId="77777777">
        <w:tblPrEx>
          <w:tblCellMar>
            <w:top w:w="0" w:type="dxa"/>
            <w:bottom w:w="0" w:type="dxa"/>
          </w:tblCellMar>
        </w:tblPrEx>
        <w:tc>
          <w:tcPr>
            <w:tcW w:w="0" w:type="auto"/>
            <w:tcBorders>
              <w:top w:val="single" w:sz="6" w:space="0" w:color="1E3A6E"/>
              <w:left w:val="single" w:sz="6" w:space="0" w:color="1E3A6E"/>
              <w:bottom w:val="single" w:sz="6" w:space="0" w:color="1E3A6E"/>
              <w:right w:val="single" w:sz="6" w:space="0" w:color="1E3A6E"/>
            </w:tcBorders>
            <w:shd w:val="clear" w:color="auto" w:fill="EEF3F9"/>
            <w:tcMar>
              <w:top w:w="280" w:type="dxa"/>
              <w:left w:w="360" w:type="dxa"/>
              <w:bottom w:w="280" w:type="dxa"/>
              <w:right w:w="360" w:type="dxa"/>
            </w:tcMar>
          </w:tcPr>
          <w:p w14:paraId="535E9EC9" w14:textId="77777777" w:rsidR="00CC3B7D" w:rsidRDefault="007B010E">
            <w:pPr>
              <w:spacing w:after="120" w:line="408" w:lineRule="auto"/>
            </w:pPr>
            <w:r>
              <w:rPr>
                <w:b/>
                <w:bCs/>
                <w:color w:val="1E3A6E"/>
              </w:rPr>
              <w:t>Executive Summary</w:t>
            </w:r>
          </w:p>
          <w:p w14:paraId="535E9ECA" w14:textId="134C4BF6" w:rsidR="00CC3B7D" w:rsidRDefault="007B010E">
            <w:pPr>
              <w:spacing w:line="360" w:lineRule="auto"/>
            </w:pPr>
            <w:r>
              <w:rPr>
                <w:rFonts w:ascii="Calibri" w:eastAsia="Calibri" w:hAnsi="Calibri" w:cs="Calibri"/>
                <w:color w:val="1A1A1A"/>
                <w:sz w:val="22"/>
                <w:szCs w:val="22"/>
              </w:rPr>
              <w:lastRenderedPageBreak/>
              <w:t xml:space="preserve">This technical appendix provides the underlying data, methodology, and assumptions supporting the Seattle-Tacoma International Airport (SEA) capacity </w:t>
            </w:r>
            <w:r w:rsidR="009E3DBE">
              <w:rPr>
                <w:rFonts w:ascii="Calibri" w:eastAsia="Calibri" w:hAnsi="Calibri" w:cs="Calibri"/>
                <w:color w:val="1A1A1A"/>
                <w:sz w:val="22"/>
                <w:szCs w:val="22"/>
              </w:rPr>
              <w:t>SAMP</w:t>
            </w:r>
            <w:r w:rsidR="000400A9">
              <w:rPr>
                <w:rFonts w:ascii="Calibri" w:eastAsia="Calibri" w:hAnsi="Calibri" w:cs="Calibri"/>
                <w:color w:val="1A1A1A"/>
                <w:sz w:val="22"/>
                <w:szCs w:val="22"/>
              </w:rPr>
              <w:t xml:space="preserve"> comments</w:t>
            </w:r>
            <w:r>
              <w:rPr>
                <w:rFonts w:ascii="Calibri" w:eastAsia="Calibri" w:hAnsi="Calibri" w:cs="Calibri"/>
                <w:color w:val="1A1A1A"/>
                <w:sz w:val="22"/>
                <w:szCs w:val="22"/>
              </w:rPr>
              <w:t>. Drawing on the FAA 2016 Capacity Benchmark Study as the primary baseline, it documents observed performance improvements through 2026 attributable to TBFM deployment, Reduced Diagonal Spacing, and optimized PBN procedures, translates hourly flow rates into annual operations estimates, and presents constrained and unconstrained operational projections through 2037. The analysis indicates that under unconstrained demand growth, the gap between forecast demand and current infrastructure capacity reaches appr</w:t>
            </w:r>
            <w:r>
              <w:rPr>
                <w:rFonts w:ascii="Calibri" w:eastAsia="Calibri" w:hAnsi="Calibri" w:cs="Calibri"/>
                <w:color w:val="1A1A1A"/>
                <w:sz w:val="22"/>
                <w:szCs w:val="22"/>
              </w:rPr>
              <w:t>oximately 242,000 annual operations by 2037 — roughly 51% of today's total operation count — establishing the planning context for the accompanying white paper series. All figures conform to FAA Advisory Circular and Order standards for airport capacity reporting.</w:t>
            </w:r>
          </w:p>
        </w:tc>
      </w:tr>
    </w:tbl>
    <w:p w14:paraId="535E9ECC" w14:textId="77777777" w:rsidR="00CC3B7D" w:rsidRDefault="00CC3B7D">
      <w:pPr>
        <w:spacing w:after="240"/>
      </w:pPr>
    </w:p>
    <w:p w14:paraId="535E9ECD" w14:textId="77777777" w:rsidR="00CC3B7D" w:rsidRDefault="007B010E">
      <w:pPr>
        <w:pStyle w:val="Heading1"/>
        <w:spacing w:before="360" w:after="80" w:line="312" w:lineRule="auto"/>
      </w:pPr>
      <w:r>
        <w:rPr>
          <w:rFonts w:ascii="Calibri" w:eastAsia="Calibri" w:hAnsi="Calibri" w:cs="Calibri"/>
          <w:color w:val="1A1A1A"/>
          <w:sz w:val="40"/>
          <w:szCs w:val="40"/>
        </w:rPr>
        <w:t>Section 1 – Purpose and Scope</w:t>
      </w:r>
    </w:p>
    <w:p w14:paraId="535E9ECE" w14:textId="77777777" w:rsidR="00CC3B7D" w:rsidRDefault="007B010E">
      <w:pPr>
        <w:spacing w:before="60" w:after="120" w:line="360" w:lineRule="auto"/>
      </w:pPr>
      <w:r>
        <w:rPr>
          <w:rFonts w:ascii="Calibri" w:eastAsia="Calibri" w:hAnsi="Calibri" w:cs="Calibri"/>
          <w:color w:val="000000"/>
          <w:sz w:val="22"/>
          <w:szCs w:val="22"/>
        </w:rPr>
        <w:t>This appendix provides the underlying data, methodology, and assumptions supporting the SEA capacity white paper series. It covers the baseline period established by the FAA 2016 Capacity Benchmark Study, observed performance through 2024–2026, current capacity improvements from TBFM deployment and Reduced Diagonal Spacing, annual operations translations, and constrained versus unconstrained operational scenarios projected through 2037. All figures align with FAA Advisory Circular and Order standards for ai</w:t>
      </w:r>
      <w:r>
        <w:rPr>
          <w:rFonts w:ascii="Calibri" w:eastAsia="Calibri" w:hAnsi="Calibri" w:cs="Calibri"/>
          <w:color w:val="000000"/>
          <w:sz w:val="22"/>
          <w:szCs w:val="22"/>
        </w:rPr>
        <w:t>rport capacity reporting.</w:t>
      </w:r>
    </w:p>
    <w:p w14:paraId="535E9ECF" w14:textId="77777777" w:rsidR="00CC3B7D" w:rsidRDefault="007B010E">
      <w:pPr>
        <w:spacing w:before="60" w:after="120" w:line="360" w:lineRule="auto"/>
      </w:pPr>
      <w:r>
        <w:rPr>
          <w:rFonts w:ascii="Calibri" w:eastAsia="Calibri" w:hAnsi="Calibri" w:cs="Calibri"/>
          <w:color w:val="000000"/>
          <w:sz w:val="22"/>
          <w:szCs w:val="22"/>
        </w:rPr>
        <w:t>The appendix is intended as a companion reference for technical and policy audiences. Readers seeking the analytical narrative, findings, and recommendations should consult the main white paper body; this document supplies the source data, parameters, and calculation methodology needed to evaluate or independently replicate those findings.</w:t>
      </w:r>
    </w:p>
    <w:p w14:paraId="535E9ED0" w14:textId="77777777" w:rsidR="00CC3B7D" w:rsidRDefault="007B010E">
      <w:pPr>
        <w:pStyle w:val="Heading1"/>
        <w:spacing w:before="360" w:after="80" w:line="312" w:lineRule="auto"/>
      </w:pPr>
      <w:r>
        <w:rPr>
          <w:rFonts w:ascii="Calibri" w:eastAsia="Calibri" w:hAnsi="Calibri" w:cs="Calibri"/>
          <w:color w:val="1A1A1A"/>
          <w:sz w:val="40"/>
          <w:szCs w:val="40"/>
        </w:rPr>
        <w:t>Section 2 – Airport Configuration Overview</w:t>
      </w:r>
    </w:p>
    <w:p w14:paraId="535E9ED1" w14:textId="77777777" w:rsidR="00CC3B7D" w:rsidRDefault="007B010E">
      <w:pPr>
        <w:spacing w:before="60" w:after="120" w:line="360" w:lineRule="auto"/>
      </w:pPr>
      <w:r>
        <w:rPr>
          <w:rFonts w:ascii="Calibri" w:eastAsia="Calibri" w:hAnsi="Calibri" w:cs="Calibri"/>
          <w:color w:val="000000"/>
          <w:sz w:val="22"/>
          <w:szCs w:val="22"/>
        </w:rPr>
        <w:t>Seattle-Tacoma International Airport operates with two parallel runways — 16L/34R and 16C/34C — as its primary configuration. A third parallel runway, 16R/34L, was added in 2008 and plays a critical role in enabling segregated arrival/departure operations, whereby arrivals and departures are assigned to dedicated runways, substantially increasing throughput relative to mixed operations. This three-runway configuration is the foundation upon which all capacity figures in this appendix are based.</w:t>
      </w:r>
    </w:p>
    <w:p w14:paraId="535E9ED2" w14:textId="77777777" w:rsidR="00CC3B7D" w:rsidRDefault="007B010E">
      <w:pPr>
        <w:spacing w:before="60" w:after="120" w:line="360" w:lineRule="auto"/>
      </w:pPr>
      <w:r>
        <w:rPr>
          <w:rFonts w:ascii="Calibri" w:eastAsia="Calibri" w:hAnsi="Calibri" w:cs="Calibri"/>
          <w:color w:val="000000"/>
          <w:sz w:val="22"/>
          <w:szCs w:val="22"/>
        </w:rPr>
        <w:lastRenderedPageBreak/>
        <w:t>SEA operates under both Instrument Meteorological Conditions (IMC) and Visual Meteorological Conditions (VMC) procedures. Capacity figures differ between these two conditions due to differences in required separation minima and approach procedures. All capacity tables in this appendix report VMC and IMC values separately to preserve this distinction. Low-visibility IMC operations (CAT II/III approaches) represent a further reduced-capacity subset and are noted where applicable.</w:t>
      </w:r>
    </w:p>
    <w:p w14:paraId="535E9ED3" w14:textId="77777777" w:rsidR="00CC3B7D" w:rsidRDefault="007B010E">
      <w:pPr>
        <w:pStyle w:val="Heading1"/>
        <w:spacing w:before="360" w:after="80" w:line="312" w:lineRule="auto"/>
      </w:pPr>
      <w:r>
        <w:rPr>
          <w:rFonts w:ascii="Calibri" w:eastAsia="Calibri" w:hAnsi="Calibri" w:cs="Calibri"/>
          <w:color w:val="1A1A1A"/>
          <w:sz w:val="40"/>
          <w:szCs w:val="40"/>
        </w:rPr>
        <w:t>Section 3 – FAA 2016 Baseline Flow Rates</w:t>
      </w:r>
    </w:p>
    <w:p w14:paraId="535E9ED4" w14:textId="77777777" w:rsidR="00CC3B7D" w:rsidRDefault="007B010E">
      <w:pPr>
        <w:spacing w:before="60" w:after="120" w:line="360" w:lineRule="auto"/>
      </w:pPr>
      <w:r>
        <w:rPr>
          <w:rFonts w:ascii="Calibri" w:eastAsia="Calibri" w:hAnsi="Calibri" w:cs="Calibri"/>
          <w:color w:val="000000"/>
          <w:sz w:val="22"/>
          <w:szCs w:val="22"/>
        </w:rPr>
        <w:t>The FAA 2016 Capacity Benchmark Study serves as the primary baseline source for this analysis (FAA, Airport Capacity Benchmark Report, 2016; FAA Capacity Needs in the National Airspace System). This study established declared hourly flow rates for SEA across meteorological conditions. All subsequent performance comparisons and projection baselines reference these values.</w:t>
      </w:r>
    </w:p>
    <w:p w14:paraId="535E9ED5" w14:textId="77777777" w:rsidR="00CC3B7D" w:rsidRDefault="007B010E">
      <w:pPr>
        <w:spacing w:after="60" w:line="360" w:lineRule="auto"/>
      </w:pPr>
      <w:r>
        <w:rPr>
          <w:rFonts w:ascii="Calibri" w:eastAsia="Calibri" w:hAnsi="Calibri" w:cs="Calibri"/>
          <w:b/>
          <w:bCs/>
          <w:color w:val="1E3A6E"/>
          <w:sz w:val="20"/>
          <w:szCs w:val="20"/>
        </w:rPr>
        <w:t>Table 3-1: FAA 2016 Baseline Hourly Flow Rates (SEA)</w:t>
      </w:r>
    </w:p>
    <w:p w14:paraId="535E9ED6"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870"/>
        <w:gridCol w:w="1870"/>
        <w:gridCol w:w="1870"/>
        <w:gridCol w:w="1870"/>
        <w:gridCol w:w="1870"/>
      </w:tblGrid>
      <w:tr w:rsidR="00CC3B7D" w14:paraId="535E9EDC" w14:textId="77777777">
        <w:tblPrEx>
          <w:tblCellMar>
            <w:top w:w="0" w:type="dxa"/>
            <w:bottom w:w="0" w:type="dxa"/>
          </w:tblCellMar>
        </w:tblPrEx>
        <w:trPr>
          <w:tblHeader/>
        </w:trPr>
        <w:tc>
          <w:tcPr>
            <w:tcW w:w="1000" w:type="pct"/>
            <w:shd w:val="clear" w:color="auto" w:fill="CCD9EA"/>
            <w:tcMar>
              <w:top w:w="75" w:type="dxa"/>
              <w:left w:w="105" w:type="dxa"/>
              <w:bottom w:w="75" w:type="dxa"/>
              <w:right w:w="105" w:type="dxa"/>
            </w:tcMar>
          </w:tcPr>
          <w:p w14:paraId="535E9ED7" w14:textId="77777777" w:rsidR="00CC3B7D" w:rsidRDefault="007B010E">
            <w:r>
              <w:rPr>
                <w:rFonts w:ascii="Calibri" w:eastAsia="Calibri" w:hAnsi="Calibri" w:cs="Calibri"/>
                <w:b/>
                <w:bCs/>
                <w:color w:val="0D2240"/>
                <w:sz w:val="20"/>
                <w:szCs w:val="20"/>
              </w:rPr>
              <w:t>Condition</w:t>
            </w:r>
          </w:p>
        </w:tc>
        <w:tc>
          <w:tcPr>
            <w:tcW w:w="1000" w:type="pct"/>
            <w:shd w:val="clear" w:color="auto" w:fill="CCD9EA"/>
            <w:tcMar>
              <w:top w:w="75" w:type="dxa"/>
              <w:left w:w="105" w:type="dxa"/>
              <w:bottom w:w="75" w:type="dxa"/>
              <w:right w:w="105" w:type="dxa"/>
            </w:tcMar>
          </w:tcPr>
          <w:p w14:paraId="535E9ED8" w14:textId="77777777" w:rsidR="00CC3B7D" w:rsidRDefault="007B010E">
            <w:r>
              <w:rPr>
                <w:rFonts w:ascii="Calibri" w:eastAsia="Calibri" w:hAnsi="Calibri" w:cs="Calibri"/>
                <w:b/>
                <w:bCs/>
                <w:color w:val="0D2240"/>
                <w:sz w:val="20"/>
                <w:szCs w:val="20"/>
              </w:rPr>
              <w:t>Arrivals (ops/</w:t>
            </w:r>
            <w:proofErr w:type="spellStart"/>
            <w:r>
              <w:rPr>
                <w:rFonts w:ascii="Calibri" w:eastAsia="Calibri" w:hAnsi="Calibri" w:cs="Calibri"/>
                <w:b/>
                <w:bCs/>
                <w:color w:val="0D2240"/>
                <w:sz w:val="20"/>
                <w:szCs w:val="20"/>
              </w:rPr>
              <w:t>hr</w:t>
            </w:r>
            <w:proofErr w:type="spellEnd"/>
            <w:r>
              <w:rPr>
                <w:rFonts w:ascii="Calibri" w:eastAsia="Calibri" w:hAnsi="Calibri" w:cs="Calibri"/>
                <w:b/>
                <w:bCs/>
                <w:color w:val="0D2240"/>
                <w:sz w:val="20"/>
                <w:szCs w:val="20"/>
              </w:rPr>
              <w:t>)</w:t>
            </w:r>
          </w:p>
        </w:tc>
        <w:tc>
          <w:tcPr>
            <w:tcW w:w="1000" w:type="pct"/>
            <w:shd w:val="clear" w:color="auto" w:fill="CCD9EA"/>
            <w:tcMar>
              <w:top w:w="75" w:type="dxa"/>
              <w:left w:w="105" w:type="dxa"/>
              <w:bottom w:w="75" w:type="dxa"/>
              <w:right w:w="105" w:type="dxa"/>
            </w:tcMar>
          </w:tcPr>
          <w:p w14:paraId="535E9ED9" w14:textId="77777777" w:rsidR="00CC3B7D" w:rsidRDefault="007B010E">
            <w:r>
              <w:rPr>
                <w:rFonts w:ascii="Calibri" w:eastAsia="Calibri" w:hAnsi="Calibri" w:cs="Calibri"/>
                <w:b/>
                <w:bCs/>
                <w:color w:val="0D2240"/>
                <w:sz w:val="20"/>
                <w:szCs w:val="20"/>
              </w:rPr>
              <w:t>Departures (ops/</w:t>
            </w:r>
            <w:proofErr w:type="spellStart"/>
            <w:r>
              <w:rPr>
                <w:rFonts w:ascii="Calibri" w:eastAsia="Calibri" w:hAnsi="Calibri" w:cs="Calibri"/>
                <w:b/>
                <w:bCs/>
                <w:color w:val="0D2240"/>
                <w:sz w:val="20"/>
                <w:szCs w:val="20"/>
              </w:rPr>
              <w:t>hr</w:t>
            </w:r>
            <w:proofErr w:type="spellEnd"/>
            <w:r>
              <w:rPr>
                <w:rFonts w:ascii="Calibri" w:eastAsia="Calibri" w:hAnsi="Calibri" w:cs="Calibri"/>
                <w:b/>
                <w:bCs/>
                <w:color w:val="0D2240"/>
                <w:sz w:val="20"/>
                <w:szCs w:val="20"/>
              </w:rPr>
              <w:t>)</w:t>
            </w:r>
          </w:p>
        </w:tc>
        <w:tc>
          <w:tcPr>
            <w:tcW w:w="1000" w:type="pct"/>
            <w:shd w:val="clear" w:color="auto" w:fill="CCD9EA"/>
            <w:tcMar>
              <w:top w:w="75" w:type="dxa"/>
              <w:left w:w="105" w:type="dxa"/>
              <w:bottom w:w="75" w:type="dxa"/>
              <w:right w:w="105" w:type="dxa"/>
            </w:tcMar>
          </w:tcPr>
          <w:p w14:paraId="535E9EDA" w14:textId="77777777" w:rsidR="00CC3B7D" w:rsidRDefault="007B010E">
            <w:r>
              <w:rPr>
                <w:rFonts w:ascii="Calibri" w:eastAsia="Calibri" w:hAnsi="Calibri" w:cs="Calibri"/>
                <w:b/>
                <w:bCs/>
                <w:color w:val="0D2240"/>
                <w:sz w:val="20"/>
                <w:szCs w:val="20"/>
              </w:rPr>
              <w:t>Combined (ops/</w:t>
            </w:r>
            <w:proofErr w:type="spellStart"/>
            <w:r>
              <w:rPr>
                <w:rFonts w:ascii="Calibri" w:eastAsia="Calibri" w:hAnsi="Calibri" w:cs="Calibri"/>
                <w:b/>
                <w:bCs/>
                <w:color w:val="0D2240"/>
                <w:sz w:val="20"/>
                <w:szCs w:val="20"/>
              </w:rPr>
              <w:t>hr</w:t>
            </w:r>
            <w:proofErr w:type="spellEnd"/>
            <w:r>
              <w:rPr>
                <w:rFonts w:ascii="Calibri" w:eastAsia="Calibri" w:hAnsi="Calibri" w:cs="Calibri"/>
                <w:b/>
                <w:bCs/>
                <w:color w:val="0D2240"/>
                <w:sz w:val="20"/>
                <w:szCs w:val="20"/>
              </w:rPr>
              <w:t>)</w:t>
            </w:r>
          </w:p>
        </w:tc>
        <w:tc>
          <w:tcPr>
            <w:tcW w:w="1000" w:type="pct"/>
            <w:shd w:val="clear" w:color="auto" w:fill="CCD9EA"/>
            <w:tcMar>
              <w:top w:w="75" w:type="dxa"/>
              <w:left w:w="105" w:type="dxa"/>
              <w:bottom w:w="75" w:type="dxa"/>
              <w:right w:w="105" w:type="dxa"/>
            </w:tcMar>
          </w:tcPr>
          <w:p w14:paraId="535E9EDB" w14:textId="77777777" w:rsidR="00CC3B7D" w:rsidRDefault="007B010E">
            <w:r>
              <w:rPr>
                <w:rFonts w:ascii="Calibri" w:eastAsia="Calibri" w:hAnsi="Calibri" w:cs="Calibri"/>
                <w:b/>
                <w:bCs/>
                <w:color w:val="0D2240"/>
                <w:sz w:val="20"/>
                <w:szCs w:val="20"/>
              </w:rPr>
              <w:t>Notes</w:t>
            </w:r>
          </w:p>
        </w:tc>
      </w:tr>
      <w:tr w:rsidR="00CC3B7D" w14:paraId="535E9EE2"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EDD" w14:textId="77777777" w:rsidR="00CC3B7D" w:rsidRDefault="007B010E">
            <w:r>
              <w:rPr>
                <w:rFonts w:ascii="Calibri" w:eastAsia="Calibri" w:hAnsi="Calibri" w:cs="Calibri"/>
                <w:color w:val="000000"/>
                <w:sz w:val="20"/>
                <w:szCs w:val="20"/>
              </w:rPr>
              <w:t>VMC (Visual)</w:t>
            </w:r>
          </w:p>
        </w:tc>
        <w:tc>
          <w:tcPr>
            <w:tcW w:w="1000" w:type="pct"/>
            <w:shd w:val="clear" w:color="auto" w:fill="FFFFFF"/>
            <w:tcMar>
              <w:top w:w="75" w:type="dxa"/>
              <w:left w:w="105" w:type="dxa"/>
              <w:bottom w:w="75" w:type="dxa"/>
              <w:right w:w="105" w:type="dxa"/>
            </w:tcMar>
          </w:tcPr>
          <w:p w14:paraId="535E9EDE" w14:textId="77777777" w:rsidR="00CC3B7D" w:rsidRDefault="007B010E">
            <w:r>
              <w:rPr>
                <w:rFonts w:ascii="Calibri" w:eastAsia="Calibri" w:hAnsi="Calibri" w:cs="Calibri"/>
                <w:color w:val="000000"/>
                <w:sz w:val="20"/>
                <w:szCs w:val="20"/>
              </w:rPr>
              <w:t>60</w:t>
            </w:r>
          </w:p>
        </w:tc>
        <w:tc>
          <w:tcPr>
            <w:tcW w:w="1000" w:type="pct"/>
            <w:shd w:val="clear" w:color="auto" w:fill="FFFFFF"/>
            <w:tcMar>
              <w:top w:w="75" w:type="dxa"/>
              <w:left w:w="105" w:type="dxa"/>
              <w:bottom w:w="75" w:type="dxa"/>
              <w:right w:w="105" w:type="dxa"/>
            </w:tcMar>
          </w:tcPr>
          <w:p w14:paraId="535E9EDF" w14:textId="77777777" w:rsidR="00CC3B7D" w:rsidRDefault="007B010E">
            <w:r>
              <w:rPr>
                <w:rFonts w:ascii="Calibri" w:eastAsia="Calibri" w:hAnsi="Calibri" w:cs="Calibri"/>
                <w:color w:val="000000"/>
                <w:sz w:val="20"/>
                <w:szCs w:val="20"/>
              </w:rPr>
              <w:t>60</w:t>
            </w:r>
          </w:p>
        </w:tc>
        <w:tc>
          <w:tcPr>
            <w:tcW w:w="1000" w:type="pct"/>
            <w:shd w:val="clear" w:color="auto" w:fill="FFFFFF"/>
            <w:tcMar>
              <w:top w:w="75" w:type="dxa"/>
              <w:left w:w="105" w:type="dxa"/>
              <w:bottom w:w="75" w:type="dxa"/>
              <w:right w:w="105" w:type="dxa"/>
            </w:tcMar>
          </w:tcPr>
          <w:p w14:paraId="535E9EE0" w14:textId="77777777" w:rsidR="00CC3B7D" w:rsidRDefault="007B010E">
            <w:r>
              <w:rPr>
                <w:rFonts w:ascii="Calibri" w:eastAsia="Calibri" w:hAnsi="Calibri" w:cs="Calibri"/>
                <w:color w:val="000000"/>
                <w:sz w:val="20"/>
                <w:szCs w:val="20"/>
              </w:rPr>
              <w:t>120</w:t>
            </w:r>
          </w:p>
        </w:tc>
        <w:tc>
          <w:tcPr>
            <w:tcW w:w="1000" w:type="pct"/>
            <w:shd w:val="clear" w:color="auto" w:fill="FFFFFF"/>
            <w:tcMar>
              <w:top w:w="75" w:type="dxa"/>
              <w:left w:w="105" w:type="dxa"/>
              <w:bottom w:w="75" w:type="dxa"/>
              <w:right w:w="105" w:type="dxa"/>
            </w:tcMar>
          </w:tcPr>
          <w:p w14:paraId="535E9EE1" w14:textId="77777777" w:rsidR="00CC3B7D" w:rsidRDefault="007B010E">
            <w:r>
              <w:rPr>
                <w:rFonts w:ascii="Calibri" w:eastAsia="Calibri" w:hAnsi="Calibri" w:cs="Calibri"/>
                <w:color w:val="000000"/>
                <w:sz w:val="20"/>
                <w:szCs w:val="20"/>
              </w:rPr>
              <w:t>Segregated parallel ops</w:t>
            </w:r>
          </w:p>
        </w:tc>
      </w:tr>
      <w:tr w:rsidR="00CC3B7D" w14:paraId="535E9EE8"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EE3" w14:textId="77777777" w:rsidR="00CC3B7D" w:rsidRDefault="007B010E">
            <w:r>
              <w:rPr>
                <w:rFonts w:ascii="Calibri" w:eastAsia="Calibri" w:hAnsi="Calibri" w:cs="Calibri"/>
                <w:color w:val="000000"/>
                <w:sz w:val="20"/>
                <w:szCs w:val="20"/>
              </w:rPr>
              <w:t>IMC (Instrument)</w:t>
            </w:r>
          </w:p>
        </w:tc>
        <w:tc>
          <w:tcPr>
            <w:tcW w:w="1000" w:type="pct"/>
            <w:shd w:val="clear" w:color="auto" w:fill="FFFFFF"/>
            <w:tcMar>
              <w:top w:w="75" w:type="dxa"/>
              <w:left w:w="105" w:type="dxa"/>
              <w:bottom w:w="75" w:type="dxa"/>
              <w:right w:w="105" w:type="dxa"/>
            </w:tcMar>
          </w:tcPr>
          <w:p w14:paraId="535E9EE4" w14:textId="77777777" w:rsidR="00CC3B7D" w:rsidRDefault="007B010E">
            <w:r>
              <w:rPr>
                <w:rFonts w:ascii="Calibri" w:eastAsia="Calibri" w:hAnsi="Calibri" w:cs="Calibri"/>
                <w:color w:val="000000"/>
                <w:sz w:val="20"/>
                <w:szCs w:val="20"/>
              </w:rPr>
              <w:t>54</w:t>
            </w:r>
          </w:p>
        </w:tc>
        <w:tc>
          <w:tcPr>
            <w:tcW w:w="1000" w:type="pct"/>
            <w:shd w:val="clear" w:color="auto" w:fill="FFFFFF"/>
            <w:tcMar>
              <w:top w:w="75" w:type="dxa"/>
              <w:left w:w="105" w:type="dxa"/>
              <w:bottom w:w="75" w:type="dxa"/>
              <w:right w:w="105" w:type="dxa"/>
            </w:tcMar>
          </w:tcPr>
          <w:p w14:paraId="535E9EE5" w14:textId="77777777" w:rsidR="00CC3B7D" w:rsidRDefault="007B010E">
            <w:r>
              <w:rPr>
                <w:rFonts w:ascii="Calibri" w:eastAsia="Calibri" w:hAnsi="Calibri" w:cs="Calibri"/>
                <w:color w:val="000000"/>
                <w:sz w:val="20"/>
                <w:szCs w:val="20"/>
              </w:rPr>
              <w:t>54</w:t>
            </w:r>
          </w:p>
        </w:tc>
        <w:tc>
          <w:tcPr>
            <w:tcW w:w="1000" w:type="pct"/>
            <w:shd w:val="clear" w:color="auto" w:fill="FFFFFF"/>
            <w:tcMar>
              <w:top w:w="75" w:type="dxa"/>
              <w:left w:w="105" w:type="dxa"/>
              <w:bottom w:w="75" w:type="dxa"/>
              <w:right w:w="105" w:type="dxa"/>
            </w:tcMar>
          </w:tcPr>
          <w:p w14:paraId="535E9EE6" w14:textId="77777777" w:rsidR="00CC3B7D" w:rsidRDefault="007B010E">
            <w:r>
              <w:rPr>
                <w:rFonts w:ascii="Calibri" w:eastAsia="Calibri" w:hAnsi="Calibri" w:cs="Calibri"/>
                <w:color w:val="000000"/>
                <w:sz w:val="20"/>
                <w:szCs w:val="20"/>
              </w:rPr>
              <w:t>108</w:t>
            </w:r>
          </w:p>
        </w:tc>
        <w:tc>
          <w:tcPr>
            <w:tcW w:w="1000" w:type="pct"/>
            <w:shd w:val="clear" w:color="auto" w:fill="FFFFFF"/>
            <w:tcMar>
              <w:top w:w="75" w:type="dxa"/>
              <w:left w:w="105" w:type="dxa"/>
              <w:bottom w:w="75" w:type="dxa"/>
              <w:right w:w="105" w:type="dxa"/>
            </w:tcMar>
          </w:tcPr>
          <w:p w14:paraId="535E9EE7" w14:textId="77777777" w:rsidR="00CC3B7D" w:rsidRDefault="007B010E">
            <w:r>
              <w:rPr>
                <w:rFonts w:ascii="Calibri" w:eastAsia="Calibri" w:hAnsi="Calibri" w:cs="Calibri"/>
                <w:color w:val="000000"/>
                <w:sz w:val="20"/>
                <w:szCs w:val="20"/>
              </w:rPr>
              <w:t>Reduced separation minima applied</w:t>
            </w:r>
          </w:p>
        </w:tc>
      </w:tr>
      <w:tr w:rsidR="00CC3B7D" w14:paraId="535E9EEE"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EE9" w14:textId="77777777" w:rsidR="00CC3B7D" w:rsidRDefault="007B010E">
            <w:r>
              <w:rPr>
                <w:rFonts w:ascii="Calibri" w:eastAsia="Calibri" w:hAnsi="Calibri" w:cs="Calibri"/>
                <w:color w:val="000000"/>
                <w:sz w:val="20"/>
                <w:szCs w:val="20"/>
              </w:rPr>
              <w:t>IMC Low Visibility</w:t>
            </w:r>
          </w:p>
        </w:tc>
        <w:tc>
          <w:tcPr>
            <w:tcW w:w="1000" w:type="pct"/>
            <w:shd w:val="clear" w:color="auto" w:fill="FFFFFF"/>
            <w:tcMar>
              <w:top w:w="75" w:type="dxa"/>
              <w:left w:w="105" w:type="dxa"/>
              <w:bottom w:w="75" w:type="dxa"/>
              <w:right w:w="105" w:type="dxa"/>
            </w:tcMar>
          </w:tcPr>
          <w:p w14:paraId="535E9EEA" w14:textId="77777777" w:rsidR="00CC3B7D" w:rsidRDefault="007B010E">
            <w:r>
              <w:rPr>
                <w:rFonts w:ascii="Calibri" w:eastAsia="Calibri" w:hAnsi="Calibri" w:cs="Calibri"/>
                <w:color w:val="000000"/>
                <w:sz w:val="20"/>
                <w:szCs w:val="20"/>
              </w:rPr>
              <w:t>30</w:t>
            </w:r>
          </w:p>
        </w:tc>
        <w:tc>
          <w:tcPr>
            <w:tcW w:w="1000" w:type="pct"/>
            <w:shd w:val="clear" w:color="auto" w:fill="FFFFFF"/>
            <w:tcMar>
              <w:top w:w="75" w:type="dxa"/>
              <w:left w:w="105" w:type="dxa"/>
              <w:bottom w:w="75" w:type="dxa"/>
              <w:right w:w="105" w:type="dxa"/>
            </w:tcMar>
          </w:tcPr>
          <w:p w14:paraId="535E9EEB" w14:textId="77777777" w:rsidR="00CC3B7D" w:rsidRDefault="007B010E">
            <w:r>
              <w:rPr>
                <w:rFonts w:ascii="Calibri" w:eastAsia="Calibri" w:hAnsi="Calibri" w:cs="Calibri"/>
                <w:color w:val="000000"/>
                <w:sz w:val="20"/>
                <w:szCs w:val="20"/>
              </w:rPr>
              <w:t>30</w:t>
            </w:r>
          </w:p>
        </w:tc>
        <w:tc>
          <w:tcPr>
            <w:tcW w:w="1000" w:type="pct"/>
            <w:shd w:val="clear" w:color="auto" w:fill="FFFFFF"/>
            <w:tcMar>
              <w:top w:w="75" w:type="dxa"/>
              <w:left w:w="105" w:type="dxa"/>
              <w:bottom w:w="75" w:type="dxa"/>
              <w:right w:w="105" w:type="dxa"/>
            </w:tcMar>
          </w:tcPr>
          <w:p w14:paraId="535E9EEC" w14:textId="77777777" w:rsidR="00CC3B7D" w:rsidRDefault="007B010E">
            <w:r>
              <w:rPr>
                <w:rFonts w:ascii="Calibri" w:eastAsia="Calibri" w:hAnsi="Calibri" w:cs="Calibri"/>
                <w:color w:val="000000"/>
                <w:sz w:val="20"/>
                <w:szCs w:val="20"/>
              </w:rPr>
              <w:t>60</w:t>
            </w:r>
          </w:p>
        </w:tc>
        <w:tc>
          <w:tcPr>
            <w:tcW w:w="1000" w:type="pct"/>
            <w:shd w:val="clear" w:color="auto" w:fill="FFFFFF"/>
            <w:tcMar>
              <w:top w:w="75" w:type="dxa"/>
              <w:left w:w="105" w:type="dxa"/>
              <w:bottom w:w="75" w:type="dxa"/>
              <w:right w:w="105" w:type="dxa"/>
            </w:tcMar>
          </w:tcPr>
          <w:p w14:paraId="535E9EED" w14:textId="77777777" w:rsidR="00CC3B7D" w:rsidRDefault="007B010E">
            <w:r>
              <w:rPr>
                <w:rFonts w:ascii="Calibri" w:eastAsia="Calibri" w:hAnsi="Calibri" w:cs="Calibri"/>
                <w:color w:val="000000"/>
                <w:sz w:val="20"/>
                <w:szCs w:val="20"/>
              </w:rPr>
              <w:t>CAT II/III approach procedures</w:t>
            </w:r>
          </w:p>
        </w:tc>
      </w:tr>
      <w:tr w:rsidR="00CC3B7D" w14:paraId="535E9EF4"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EEF" w14:textId="77777777" w:rsidR="00CC3B7D" w:rsidRDefault="007B010E">
            <w:r>
              <w:rPr>
                <w:rFonts w:ascii="Calibri" w:eastAsia="Calibri" w:hAnsi="Calibri" w:cs="Calibri"/>
                <w:color w:val="000000"/>
                <w:sz w:val="20"/>
                <w:szCs w:val="20"/>
              </w:rPr>
              <w:t>Peak Declared Capacity</w:t>
            </w:r>
          </w:p>
        </w:tc>
        <w:tc>
          <w:tcPr>
            <w:tcW w:w="1000" w:type="pct"/>
            <w:shd w:val="clear" w:color="auto" w:fill="FFFFFF"/>
            <w:tcMar>
              <w:top w:w="75" w:type="dxa"/>
              <w:left w:w="105" w:type="dxa"/>
              <w:bottom w:w="75" w:type="dxa"/>
              <w:right w:w="105" w:type="dxa"/>
            </w:tcMar>
          </w:tcPr>
          <w:p w14:paraId="535E9EF0" w14:textId="77777777" w:rsidR="00CC3B7D" w:rsidRDefault="007B010E">
            <w:r>
              <w:rPr>
                <w:rFonts w:ascii="Calibri" w:eastAsia="Calibri" w:hAnsi="Calibri" w:cs="Calibri"/>
                <w:color w:val="000000"/>
                <w:sz w:val="20"/>
                <w:szCs w:val="20"/>
              </w:rPr>
              <w:t>62</w:t>
            </w:r>
          </w:p>
        </w:tc>
        <w:tc>
          <w:tcPr>
            <w:tcW w:w="1000" w:type="pct"/>
            <w:shd w:val="clear" w:color="auto" w:fill="FFFFFF"/>
            <w:tcMar>
              <w:top w:w="75" w:type="dxa"/>
              <w:left w:w="105" w:type="dxa"/>
              <w:bottom w:w="75" w:type="dxa"/>
              <w:right w:w="105" w:type="dxa"/>
            </w:tcMar>
          </w:tcPr>
          <w:p w14:paraId="535E9EF1" w14:textId="77777777" w:rsidR="00CC3B7D" w:rsidRDefault="007B010E">
            <w:r>
              <w:rPr>
                <w:rFonts w:ascii="Calibri" w:eastAsia="Calibri" w:hAnsi="Calibri" w:cs="Calibri"/>
                <w:color w:val="000000"/>
                <w:sz w:val="20"/>
                <w:szCs w:val="20"/>
              </w:rPr>
              <w:t>62</w:t>
            </w:r>
          </w:p>
        </w:tc>
        <w:tc>
          <w:tcPr>
            <w:tcW w:w="1000" w:type="pct"/>
            <w:shd w:val="clear" w:color="auto" w:fill="FFFFFF"/>
            <w:tcMar>
              <w:top w:w="75" w:type="dxa"/>
              <w:left w:w="105" w:type="dxa"/>
              <w:bottom w:w="75" w:type="dxa"/>
              <w:right w:w="105" w:type="dxa"/>
            </w:tcMar>
          </w:tcPr>
          <w:p w14:paraId="535E9EF2" w14:textId="77777777" w:rsidR="00CC3B7D" w:rsidRDefault="007B010E">
            <w:r>
              <w:rPr>
                <w:rFonts w:ascii="Calibri" w:eastAsia="Calibri" w:hAnsi="Calibri" w:cs="Calibri"/>
                <w:color w:val="000000"/>
                <w:sz w:val="20"/>
                <w:szCs w:val="20"/>
              </w:rPr>
              <w:t>124</w:t>
            </w:r>
          </w:p>
        </w:tc>
        <w:tc>
          <w:tcPr>
            <w:tcW w:w="1000" w:type="pct"/>
            <w:shd w:val="clear" w:color="auto" w:fill="FFFFFF"/>
            <w:tcMar>
              <w:top w:w="75" w:type="dxa"/>
              <w:left w:w="105" w:type="dxa"/>
              <w:bottom w:w="75" w:type="dxa"/>
              <w:right w:w="105" w:type="dxa"/>
            </w:tcMar>
          </w:tcPr>
          <w:p w14:paraId="535E9EF3" w14:textId="77777777" w:rsidR="00CC3B7D" w:rsidRDefault="007B010E">
            <w:r>
              <w:rPr>
                <w:rFonts w:ascii="Calibri" w:eastAsia="Calibri" w:hAnsi="Calibri" w:cs="Calibri"/>
                <w:color w:val="000000"/>
                <w:sz w:val="20"/>
                <w:szCs w:val="20"/>
              </w:rPr>
              <w:t>Airport-declared maximum</w:t>
            </w:r>
          </w:p>
        </w:tc>
      </w:tr>
    </w:tbl>
    <w:p w14:paraId="535E9EF5" w14:textId="77777777" w:rsidR="00CC3B7D" w:rsidRDefault="00CC3B7D">
      <w:pPr>
        <w:spacing w:after="200"/>
      </w:pPr>
    </w:p>
    <w:p w14:paraId="535E9EF6" w14:textId="77777777" w:rsidR="00CC3B7D" w:rsidRDefault="007B010E">
      <w:pPr>
        <w:spacing w:before="60" w:after="240" w:line="360" w:lineRule="auto"/>
      </w:pPr>
      <w:r>
        <w:rPr>
          <w:rFonts w:ascii="Calibri" w:eastAsia="Calibri" w:hAnsi="Calibri" w:cs="Calibri"/>
          <w:i/>
          <w:iCs/>
          <w:color w:val="5A5A5A"/>
          <w:sz w:val="18"/>
          <w:szCs w:val="18"/>
        </w:rPr>
        <w:t>Note: FAA declared capacity represents the theoretical ceiling under optimal staffing, weather conditions, and aircraft mix — not a figure achievable on a sustained basis across a full operating day. Actual throughput in any given hour will typically fall below declared capacity due to demand variability, spacing buffers, and operational constraints. These figures are used as planning anchors, not as operational targets.</w:t>
      </w:r>
    </w:p>
    <w:p w14:paraId="535E9EF7" w14:textId="77777777" w:rsidR="00CC3B7D" w:rsidRDefault="007B010E">
      <w:pPr>
        <w:pStyle w:val="Heading1"/>
        <w:spacing w:before="360" w:after="80" w:line="312" w:lineRule="auto"/>
      </w:pPr>
      <w:r>
        <w:rPr>
          <w:rFonts w:ascii="Calibri" w:eastAsia="Calibri" w:hAnsi="Calibri" w:cs="Calibri"/>
          <w:color w:val="1A1A1A"/>
          <w:sz w:val="40"/>
          <w:szCs w:val="40"/>
        </w:rPr>
        <w:t>Section 4 – Updated Performance: 2024–2026</w:t>
      </w:r>
    </w:p>
    <w:p w14:paraId="535E9EF8" w14:textId="77777777" w:rsidR="00CC3B7D" w:rsidRDefault="007B010E">
      <w:pPr>
        <w:spacing w:before="60" w:after="120" w:line="360" w:lineRule="auto"/>
      </w:pPr>
      <w:r>
        <w:rPr>
          <w:rFonts w:ascii="Calibri" w:eastAsia="Calibri" w:hAnsi="Calibri" w:cs="Calibri"/>
          <w:color w:val="000000"/>
          <w:sz w:val="22"/>
          <w:szCs w:val="22"/>
        </w:rPr>
        <w:t>Actual throughput data from 2024–2026, drawn from the FAA Aviation System Performance Metrics (ASPM) database and Bureau of Transportation Statistics (BTS) Form 41 T-100 segment data, reflects improved performance relative to the 2016 baseline. These gains are attributable to TBFM deployment, Reduced Diagonal Spacing, and optimized PBN (Performance-Based Navigation) procedures, as well as evolution in the fleet mix serving SEA.</w:t>
      </w:r>
    </w:p>
    <w:p w14:paraId="535E9EF9" w14:textId="77777777" w:rsidR="00CC3B7D" w:rsidRDefault="007B010E">
      <w:pPr>
        <w:spacing w:after="60" w:line="360" w:lineRule="auto"/>
      </w:pPr>
      <w:r>
        <w:rPr>
          <w:rFonts w:ascii="Calibri" w:eastAsia="Calibri" w:hAnsi="Calibri" w:cs="Calibri"/>
          <w:b/>
          <w:bCs/>
          <w:color w:val="1E3A6E"/>
          <w:sz w:val="20"/>
          <w:szCs w:val="20"/>
        </w:rPr>
        <w:lastRenderedPageBreak/>
        <w:t>Table 4-1: Observed Hourly Throughput 2024–2026</w:t>
      </w:r>
    </w:p>
    <w:p w14:paraId="535E9EFA"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870"/>
        <w:gridCol w:w="1870"/>
        <w:gridCol w:w="1870"/>
        <w:gridCol w:w="1870"/>
        <w:gridCol w:w="1870"/>
      </w:tblGrid>
      <w:tr w:rsidR="00CC3B7D" w14:paraId="535E9F00" w14:textId="77777777">
        <w:tblPrEx>
          <w:tblCellMar>
            <w:top w:w="0" w:type="dxa"/>
            <w:bottom w:w="0" w:type="dxa"/>
          </w:tblCellMar>
        </w:tblPrEx>
        <w:trPr>
          <w:tblHeader/>
        </w:trPr>
        <w:tc>
          <w:tcPr>
            <w:tcW w:w="1000" w:type="pct"/>
            <w:shd w:val="clear" w:color="auto" w:fill="CCD9EA"/>
            <w:tcMar>
              <w:top w:w="75" w:type="dxa"/>
              <w:left w:w="105" w:type="dxa"/>
              <w:bottom w:w="75" w:type="dxa"/>
              <w:right w:w="105" w:type="dxa"/>
            </w:tcMar>
          </w:tcPr>
          <w:p w14:paraId="535E9EFB" w14:textId="77777777" w:rsidR="00CC3B7D" w:rsidRDefault="007B010E">
            <w:r>
              <w:rPr>
                <w:rFonts w:ascii="Calibri" w:eastAsia="Calibri" w:hAnsi="Calibri" w:cs="Calibri"/>
                <w:b/>
                <w:bCs/>
                <w:color w:val="0D2240"/>
                <w:sz w:val="20"/>
                <w:szCs w:val="20"/>
              </w:rPr>
              <w:t>Year</w:t>
            </w:r>
          </w:p>
        </w:tc>
        <w:tc>
          <w:tcPr>
            <w:tcW w:w="1000" w:type="pct"/>
            <w:shd w:val="clear" w:color="auto" w:fill="CCD9EA"/>
            <w:tcMar>
              <w:top w:w="75" w:type="dxa"/>
              <w:left w:w="105" w:type="dxa"/>
              <w:bottom w:w="75" w:type="dxa"/>
              <w:right w:w="105" w:type="dxa"/>
            </w:tcMar>
          </w:tcPr>
          <w:p w14:paraId="535E9EFC" w14:textId="77777777" w:rsidR="00CC3B7D" w:rsidRDefault="007B010E">
            <w:r>
              <w:rPr>
                <w:rFonts w:ascii="Calibri" w:eastAsia="Calibri" w:hAnsi="Calibri" w:cs="Calibri"/>
                <w:b/>
                <w:bCs/>
                <w:color w:val="0D2240"/>
                <w:sz w:val="20"/>
                <w:szCs w:val="20"/>
              </w:rPr>
              <w:t>Peak VMC (ops/</w:t>
            </w:r>
            <w:proofErr w:type="spellStart"/>
            <w:r>
              <w:rPr>
                <w:rFonts w:ascii="Calibri" w:eastAsia="Calibri" w:hAnsi="Calibri" w:cs="Calibri"/>
                <w:b/>
                <w:bCs/>
                <w:color w:val="0D2240"/>
                <w:sz w:val="20"/>
                <w:szCs w:val="20"/>
              </w:rPr>
              <w:t>hr</w:t>
            </w:r>
            <w:proofErr w:type="spellEnd"/>
            <w:r>
              <w:rPr>
                <w:rFonts w:ascii="Calibri" w:eastAsia="Calibri" w:hAnsi="Calibri" w:cs="Calibri"/>
                <w:b/>
                <w:bCs/>
                <w:color w:val="0D2240"/>
                <w:sz w:val="20"/>
                <w:szCs w:val="20"/>
              </w:rPr>
              <w:t>)</w:t>
            </w:r>
          </w:p>
        </w:tc>
        <w:tc>
          <w:tcPr>
            <w:tcW w:w="1000" w:type="pct"/>
            <w:shd w:val="clear" w:color="auto" w:fill="CCD9EA"/>
            <w:tcMar>
              <w:top w:w="75" w:type="dxa"/>
              <w:left w:w="105" w:type="dxa"/>
              <w:bottom w:w="75" w:type="dxa"/>
              <w:right w:w="105" w:type="dxa"/>
            </w:tcMar>
          </w:tcPr>
          <w:p w14:paraId="535E9EFD" w14:textId="77777777" w:rsidR="00CC3B7D" w:rsidRDefault="007B010E">
            <w:r>
              <w:rPr>
                <w:rFonts w:ascii="Calibri" w:eastAsia="Calibri" w:hAnsi="Calibri" w:cs="Calibri"/>
                <w:b/>
                <w:bCs/>
                <w:color w:val="0D2240"/>
                <w:sz w:val="20"/>
                <w:szCs w:val="20"/>
              </w:rPr>
              <w:t>Peak IMC (ops/</w:t>
            </w:r>
            <w:proofErr w:type="spellStart"/>
            <w:r>
              <w:rPr>
                <w:rFonts w:ascii="Calibri" w:eastAsia="Calibri" w:hAnsi="Calibri" w:cs="Calibri"/>
                <w:b/>
                <w:bCs/>
                <w:color w:val="0D2240"/>
                <w:sz w:val="20"/>
                <w:szCs w:val="20"/>
              </w:rPr>
              <w:t>hr</w:t>
            </w:r>
            <w:proofErr w:type="spellEnd"/>
            <w:r>
              <w:rPr>
                <w:rFonts w:ascii="Calibri" w:eastAsia="Calibri" w:hAnsi="Calibri" w:cs="Calibri"/>
                <w:b/>
                <w:bCs/>
                <w:color w:val="0D2240"/>
                <w:sz w:val="20"/>
                <w:szCs w:val="20"/>
              </w:rPr>
              <w:t>)</w:t>
            </w:r>
          </w:p>
        </w:tc>
        <w:tc>
          <w:tcPr>
            <w:tcW w:w="1000" w:type="pct"/>
            <w:shd w:val="clear" w:color="auto" w:fill="CCD9EA"/>
            <w:tcMar>
              <w:top w:w="75" w:type="dxa"/>
              <w:left w:w="105" w:type="dxa"/>
              <w:bottom w:w="75" w:type="dxa"/>
              <w:right w:w="105" w:type="dxa"/>
            </w:tcMar>
          </w:tcPr>
          <w:p w14:paraId="535E9EFE" w14:textId="77777777" w:rsidR="00CC3B7D" w:rsidRDefault="007B010E">
            <w:r>
              <w:rPr>
                <w:rFonts w:ascii="Calibri" w:eastAsia="Calibri" w:hAnsi="Calibri" w:cs="Calibri"/>
                <w:b/>
                <w:bCs/>
                <w:color w:val="0D2240"/>
                <w:sz w:val="20"/>
                <w:szCs w:val="20"/>
              </w:rPr>
              <w:t>Avg Daily Ops</w:t>
            </w:r>
          </w:p>
        </w:tc>
        <w:tc>
          <w:tcPr>
            <w:tcW w:w="1000" w:type="pct"/>
            <w:shd w:val="clear" w:color="auto" w:fill="CCD9EA"/>
            <w:tcMar>
              <w:top w:w="75" w:type="dxa"/>
              <w:left w:w="105" w:type="dxa"/>
              <w:bottom w:w="75" w:type="dxa"/>
              <w:right w:w="105" w:type="dxa"/>
            </w:tcMar>
          </w:tcPr>
          <w:p w14:paraId="535E9EFF" w14:textId="77777777" w:rsidR="00CC3B7D" w:rsidRDefault="007B010E">
            <w:r>
              <w:rPr>
                <w:rFonts w:ascii="Calibri" w:eastAsia="Calibri" w:hAnsi="Calibri" w:cs="Calibri"/>
                <w:b/>
                <w:bCs/>
                <w:color w:val="0D2240"/>
                <w:sz w:val="20"/>
                <w:szCs w:val="20"/>
              </w:rPr>
              <w:t>Notes</w:t>
            </w:r>
          </w:p>
        </w:tc>
      </w:tr>
      <w:tr w:rsidR="00CC3B7D" w14:paraId="535E9F06"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01" w14:textId="77777777" w:rsidR="00CC3B7D" w:rsidRDefault="007B010E">
            <w:r>
              <w:rPr>
                <w:rFonts w:ascii="Calibri" w:eastAsia="Calibri" w:hAnsi="Calibri" w:cs="Calibri"/>
                <w:color w:val="000000"/>
                <w:sz w:val="20"/>
                <w:szCs w:val="20"/>
              </w:rPr>
              <w:t>2024</w:t>
            </w:r>
          </w:p>
        </w:tc>
        <w:tc>
          <w:tcPr>
            <w:tcW w:w="1000" w:type="pct"/>
            <w:shd w:val="clear" w:color="auto" w:fill="FFFFFF"/>
            <w:tcMar>
              <w:top w:w="75" w:type="dxa"/>
              <w:left w:w="105" w:type="dxa"/>
              <w:bottom w:w="75" w:type="dxa"/>
              <w:right w:w="105" w:type="dxa"/>
            </w:tcMar>
          </w:tcPr>
          <w:p w14:paraId="535E9F02" w14:textId="77777777" w:rsidR="00CC3B7D" w:rsidRDefault="007B010E">
            <w:r>
              <w:rPr>
                <w:rFonts w:ascii="Calibri" w:eastAsia="Calibri" w:hAnsi="Calibri" w:cs="Calibri"/>
                <w:color w:val="000000"/>
                <w:sz w:val="20"/>
                <w:szCs w:val="20"/>
              </w:rPr>
              <w:t>64</w:t>
            </w:r>
          </w:p>
        </w:tc>
        <w:tc>
          <w:tcPr>
            <w:tcW w:w="1000" w:type="pct"/>
            <w:shd w:val="clear" w:color="auto" w:fill="FFFFFF"/>
            <w:tcMar>
              <w:top w:w="75" w:type="dxa"/>
              <w:left w:w="105" w:type="dxa"/>
              <w:bottom w:w="75" w:type="dxa"/>
              <w:right w:w="105" w:type="dxa"/>
            </w:tcMar>
          </w:tcPr>
          <w:p w14:paraId="535E9F03" w14:textId="77777777" w:rsidR="00CC3B7D" w:rsidRDefault="007B010E">
            <w:r>
              <w:rPr>
                <w:rFonts w:ascii="Calibri" w:eastAsia="Calibri" w:hAnsi="Calibri" w:cs="Calibri"/>
                <w:color w:val="000000"/>
                <w:sz w:val="20"/>
                <w:szCs w:val="20"/>
              </w:rPr>
              <w:t>57</w:t>
            </w:r>
          </w:p>
        </w:tc>
        <w:tc>
          <w:tcPr>
            <w:tcW w:w="1000" w:type="pct"/>
            <w:shd w:val="clear" w:color="auto" w:fill="FFFFFF"/>
            <w:tcMar>
              <w:top w:w="75" w:type="dxa"/>
              <w:left w:w="105" w:type="dxa"/>
              <w:bottom w:w="75" w:type="dxa"/>
              <w:right w:w="105" w:type="dxa"/>
            </w:tcMar>
          </w:tcPr>
          <w:p w14:paraId="535E9F04" w14:textId="77777777" w:rsidR="00CC3B7D" w:rsidRDefault="007B010E">
            <w:r>
              <w:rPr>
                <w:rFonts w:ascii="Calibri" w:eastAsia="Calibri" w:hAnsi="Calibri" w:cs="Calibri"/>
                <w:color w:val="000000"/>
                <w:sz w:val="20"/>
                <w:szCs w:val="20"/>
              </w:rPr>
              <w:t>1,350</w:t>
            </w:r>
          </w:p>
        </w:tc>
        <w:tc>
          <w:tcPr>
            <w:tcW w:w="1000" w:type="pct"/>
            <w:shd w:val="clear" w:color="auto" w:fill="FFFFFF"/>
            <w:tcMar>
              <w:top w:w="75" w:type="dxa"/>
              <w:left w:w="105" w:type="dxa"/>
              <w:bottom w:w="75" w:type="dxa"/>
              <w:right w:w="105" w:type="dxa"/>
            </w:tcMar>
          </w:tcPr>
          <w:p w14:paraId="535E9F05" w14:textId="77777777" w:rsidR="00CC3B7D" w:rsidRDefault="007B010E">
            <w:r>
              <w:rPr>
                <w:rFonts w:ascii="Calibri" w:eastAsia="Calibri" w:hAnsi="Calibri" w:cs="Calibri"/>
                <w:color w:val="000000"/>
                <w:sz w:val="20"/>
                <w:szCs w:val="20"/>
              </w:rPr>
              <w:t>Post-TBFM / Reduced Diagonal Spacing deployment</w:t>
            </w:r>
          </w:p>
        </w:tc>
      </w:tr>
      <w:tr w:rsidR="00CC3B7D" w14:paraId="535E9F0C"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07" w14:textId="77777777" w:rsidR="00CC3B7D" w:rsidRDefault="007B010E">
            <w:r>
              <w:rPr>
                <w:rFonts w:ascii="Calibri" w:eastAsia="Calibri" w:hAnsi="Calibri" w:cs="Calibri"/>
                <w:color w:val="000000"/>
                <w:sz w:val="20"/>
                <w:szCs w:val="20"/>
              </w:rPr>
              <w:t>2025</w:t>
            </w:r>
          </w:p>
        </w:tc>
        <w:tc>
          <w:tcPr>
            <w:tcW w:w="1000" w:type="pct"/>
            <w:shd w:val="clear" w:color="auto" w:fill="FFFFFF"/>
            <w:tcMar>
              <w:top w:w="75" w:type="dxa"/>
              <w:left w:w="105" w:type="dxa"/>
              <w:bottom w:w="75" w:type="dxa"/>
              <w:right w:w="105" w:type="dxa"/>
            </w:tcMar>
          </w:tcPr>
          <w:p w14:paraId="535E9F08" w14:textId="77777777" w:rsidR="00CC3B7D" w:rsidRDefault="007B010E">
            <w:r>
              <w:rPr>
                <w:rFonts w:ascii="Calibri" w:eastAsia="Calibri" w:hAnsi="Calibri" w:cs="Calibri"/>
                <w:color w:val="000000"/>
                <w:sz w:val="20"/>
                <w:szCs w:val="20"/>
              </w:rPr>
              <w:t>65</w:t>
            </w:r>
          </w:p>
        </w:tc>
        <w:tc>
          <w:tcPr>
            <w:tcW w:w="1000" w:type="pct"/>
            <w:shd w:val="clear" w:color="auto" w:fill="FFFFFF"/>
            <w:tcMar>
              <w:top w:w="75" w:type="dxa"/>
              <w:left w:w="105" w:type="dxa"/>
              <w:bottom w:w="75" w:type="dxa"/>
              <w:right w:w="105" w:type="dxa"/>
            </w:tcMar>
          </w:tcPr>
          <w:p w14:paraId="535E9F09" w14:textId="77777777" w:rsidR="00CC3B7D" w:rsidRDefault="007B010E">
            <w:r>
              <w:rPr>
                <w:rFonts w:ascii="Calibri" w:eastAsia="Calibri" w:hAnsi="Calibri" w:cs="Calibri"/>
                <w:color w:val="000000"/>
                <w:sz w:val="20"/>
                <w:szCs w:val="20"/>
              </w:rPr>
              <w:t>58</w:t>
            </w:r>
          </w:p>
        </w:tc>
        <w:tc>
          <w:tcPr>
            <w:tcW w:w="1000" w:type="pct"/>
            <w:shd w:val="clear" w:color="auto" w:fill="FFFFFF"/>
            <w:tcMar>
              <w:top w:w="75" w:type="dxa"/>
              <w:left w:w="105" w:type="dxa"/>
              <w:bottom w:w="75" w:type="dxa"/>
              <w:right w:w="105" w:type="dxa"/>
            </w:tcMar>
          </w:tcPr>
          <w:p w14:paraId="535E9F0A" w14:textId="77777777" w:rsidR="00CC3B7D" w:rsidRDefault="007B010E">
            <w:r>
              <w:rPr>
                <w:rFonts w:ascii="Calibri" w:eastAsia="Calibri" w:hAnsi="Calibri" w:cs="Calibri"/>
                <w:color w:val="000000"/>
                <w:sz w:val="20"/>
                <w:szCs w:val="20"/>
              </w:rPr>
              <w:t>1,380</w:t>
            </w:r>
          </w:p>
        </w:tc>
        <w:tc>
          <w:tcPr>
            <w:tcW w:w="1000" w:type="pct"/>
            <w:shd w:val="clear" w:color="auto" w:fill="FFFFFF"/>
            <w:tcMar>
              <w:top w:w="75" w:type="dxa"/>
              <w:left w:w="105" w:type="dxa"/>
              <w:bottom w:w="75" w:type="dxa"/>
              <w:right w:w="105" w:type="dxa"/>
            </w:tcMar>
          </w:tcPr>
          <w:p w14:paraId="535E9F0B" w14:textId="77777777" w:rsidR="00CC3B7D" w:rsidRDefault="007B010E">
            <w:r>
              <w:rPr>
                <w:rFonts w:ascii="Calibri" w:eastAsia="Calibri" w:hAnsi="Calibri" w:cs="Calibri"/>
                <w:color w:val="000000"/>
                <w:sz w:val="20"/>
                <w:szCs w:val="20"/>
              </w:rPr>
              <w:t>Continued TBFM and PBN optimization</w:t>
            </w:r>
          </w:p>
        </w:tc>
      </w:tr>
      <w:tr w:rsidR="00CC3B7D" w14:paraId="535E9F12"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0D" w14:textId="77777777" w:rsidR="00CC3B7D" w:rsidRDefault="007B010E">
            <w:r>
              <w:rPr>
                <w:rFonts w:ascii="Calibri" w:eastAsia="Calibri" w:hAnsi="Calibri" w:cs="Calibri"/>
                <w:color w:val="000000"/>
                <w:sz w:val="20"/>
                <w:szCs w:val="20"/>
              </w:rPr>
              <w:t>2026 (YTD)</w:t>
            </w:r>
          </w:p>
        </w:tc>
        <w:tc>
          <w:tcPr>
            <w:tcW w:w="1000" w:type="pct"/>
            <w:shd w:val="clear" w:color="auto" w:fill="FFFFFF"/>
            <w:tcMar>
              <w:top w:w="75" w:type="dxa"/>
              <w:left w:w="105" w:type="dxa"/>
              <w:bottom w:w="75" w:type="dxa"/>
              <w:right w:w="105" w:type="dxa"/>
            </w:tcMar>
          </w:tcPr>
          <w:p w14:paraId="535E9F0E" w14:textId="77777777" w:rsidR="00CC3B7D" w:rsidRDefault="007B010E">
            <w:r>
              <w:rPr>
                <w:rFonts w:ascii="Calibri" w:eastAsia="Calibri" w:hAnsi="Calibri" w:cs="Calibri"/>
                <w:color w:val="000000"/>
                <w:sz w:val="20"/>
                <w:szCs w:val="20"/>
              </w:rPr>
              <w:t>65</w:t>
            </w:r>
          </w:p>
        </w:tc>
        <w:tc>
          <w:tcPr>
            <w:tcW w:w="1000" w:type="pct"/>
            <w:shd w:val="clear" w:color="auto" w:fill="FFFFFF"/>
            <w:tcMar>
              <w:top w:w="75" w:type="dxa"/>
              <w:left w:w="105" w:type="dxa"/>
              <w:bottom w:w="75" w:type="dxa"/>
              <w:right w:w="105" w:type="dxa"/>
            </w:tcMar>
          </w:tcPr>
          <w:p w14:paraId="535E9F0F" w14:textId="77777777" w:rsidR="00CC3B7D" w:rsidRDefault="007B010E">
            <w:r>
              <w:rPr>
                <w:rFonts w:ascii="Calibri" w:eastAsia="Calibri" w:hAnsi="Calibri" w:cs="Calibri"/>
                <w:color w:val="000000"/>
                <w:sz w:val="20"/>
                <w:szCs w:val="20"/>
              </w:rPr>
              <w:t>58</w:t>
            </w:r>
          </w:p>
        </w:tc>
        <w:tc>
          <w:tcPr>
            <w:tcW w:w="1000" w:type="pct"/>
            <w:shd w:val="clear" w:color="auto" w:fill="FFFFFF"/>
            <w:tcMar>
              <w:top w:w="75" w:type="dxa"/>
              <w:left w:w="105" w:type="dxa"/>
              <w:bottom w:w="75" w:type="dxa"/>
              <w:right w:w="105" w:type="dxa"/>
            </w:tcMar>
          </w:tcPr>
          <w:p w14:paraId="535E9F10" w14:textId="77777777" w:rsidR="00CC3B7D" w:rsidRDefault="007B010E">
            <w:r>
              <w:rPr>
                <w:rFonts w:ascii="Calibri" w:eastAsia="Calibri" w:hAnsi="Calibri" w:cs="Calibri"/>
                <w:color w:val="000000"/>
                <w:sz w:val="20"/>
                <w:szCs w:val="20"/>
              </w:rPr>
              <w:t>1,395 (projected)</w:t>
            </w:r>
          </w:p>
        </w:tc>
        <w:tc>
          <w:tcPr>
            <w:tcW w:w="1000" w:type="pct"/>
            <w:shd w:val="clear" w:color="auto" w:fill="FFFFFF"/>
            <w:tcMar>
              <w:top w:w="75" w:type="dxa"/>
              <w:left w:w="105" w:type="dxa"/>
              <w:bottom w:w="75" w:type="dxa"/>
              <w:right w:w="105" w:type="dxa"/>
            </w:tcMar>
          </w:tcPr>
          <w:p w14:paraId="535E9F11" w14:textId="77777777" w:rsidR="00CC3B7D" w:rsidRDefault="007B010E">
            <w:r>
              <w:rPr>
                <w:rFonts w:ascii="Calibri" w:eastAsia="Calibri" w:hAnsi="Calibri" w:cs="Calibri"/>
                <w:color w:val="000000"/>
                <w:sz w:val="20"/>
                <w:szCs w:val="20"/>
              </w:rPr>
              <w:t>Through May 2026</w:t>
            </w:r>
          </w:p>
        </w:tc>
      </w:tr>
    </w:tbl>
    <w:p w14:paraId="535E9F13" w14:textId="77777777" w:rsidR="00CC3B7D" w:rsidRDefault="00CC3B7D">
      <w:pPr>
        <w:spacing w:after="200"/>
      </w:pPr>
    </w:p>
    <w:p w14:paraId="535E9F14" w14:textId="77777777" w:rsidR="00CC3B7D" w:rsidRDefault="007B010E">
      <w:pPr>
        <w:spacing w:before="60" w:after="120" w:line="360" w:lineRule="auto"/>
      </w:pPr>
      <w:r>
        <w:rPr>
          <w:rFonts w:ascii="Calibri" w:eastAsia="Calibri" w:hAnsi="Calibri" w:cs="Calibri"/>
          <w:color w:val="000000"/>
          <w:sz w:val="22"/>
          <w:szCs w:val="22"/>
        </w:rPr>
        <w:t>VMC performance has exceeded the 2016 FAA baseline by approximately 3–5 ops/</w:t>
      </w:r>
      <w:proofErr w:type="spellStart"/>
      <w:r>
        <w:rPr>
          <w:rFonts w:ascii="Calibri" w:eastAsia="Calibri" w:hAnsi="Calibri" w:cs="Calibri"/>
          <w:color w:val="000000"/>
          <w:sz w:val="22"/>
          <w:szCs w:val="22"/>
        </w:rPr>
        <w:t>hr</w:t>
      </w:r>
      <w:proofErr w:type="spellEnd"/>
      <w:r>
        <w:rPr>
          <w:rFonts w:ascii="Calibri" w:eastAsia="Calibri" w:hAnsi="Calibri" w:cs="Calibri"/>
          <w:color w:val="000000"/>
          <w:sz w:val="22"/>
          <w:szCs w:val="22"/>
        </w:rPr>
        <w:t>, reflecting the compounding benefits of TBFM deployment, Reduced Diagonal Spacing, and procedural refinement. IMC performance shows a more significant improvement — approximately 4–7 ops/</w:t>
      </w:r>
      <w:proofErr w:type="spellStart"/>
      <w:r>
        <w:rPr>
          <w:rFonts w:ascii="Calibri" w:eastAsia="Calibri" w:hAnsi="Calibri" w:cs="Calibri"/>
          <w:color w:val="000000"/>
          <w:sz w:val="22"/>
          <w:szCs w:val="22"/>
        </w:rPr>
        <w:t>hr</w:t>
      </w:r>
      <w:proofErr w:type="spellEnd"/>
      <w:r>
        <w:rPr>
          <w:rFonts w:ascii="Calibri" w:eastAsia="Calibri" w:hAnsi="Calibri" w:cs="Calibri"/>
          <w:color w:val="000000"/>
          <w:sz w:val="22"/>
          <w:szCs w:val="22"/>
        </w:rPr>
        <w:t xml:space="preserve"> above the 2016 baseline — a gain primarily attributable to Reduced Diagonal Spacing's ability to tighten approach spacing under low-visibility conditions, where separation standards had the greatest headroom for reduction. Both figures are treated as stable current-baseline performance levels for purposes of all proje</w:t>
      </w:r>
      <w:r>
        <w:rPr>
          <w:rFonts w:ascii="Calibri" w:eastAsia="Calibri" w:hAnsi="Calibri" w:cs="Calibri"/>
          <w:color w:val="000000"/>
          <w:sz w:val="22"/>
          <w:szCs w:val="22"/>
        </w:rPr>
        <w:t>ctions in this appendix.</w:t>
      </w:r>
    </w:p>
    <w:p w14:paraId="535E9F15" w14:textId="77777777" w:rsidR="00CC3B7D" w:rsidRDefault="007B010E">
      <w:pPr>
        <w:pStyle w:val="Heading1"/>
        <w:spacing w:before="360" w:after="80" w:line="312" w:lineRule="auto"/>
      </w:pPr>
      <w:r>
        <w:rPr>
          <w:rFonts w:ascii="Calibri" w:eastAsia="Calibri" w:hAnsi="Calibri" w:cs="Calibri"/>
          <w:color w:val="1A1A1A"/>
          <w:sz w:val="40"/>
          <w:szCs w:val="40"/>
        </w:rPr>
        <w:t>Section 5 – Current Capacity Improvements at SEA</w:t>
      </w:r>
    </w:p>
    <w:p w14:paraId="535E9F16" w14:textId="77777777" w:rsidR="00CC3B7D" w:rsidRDefault="007B010E">
      <w:pPr>
        <w:spacing w:before="60" w:after="120" w:line="360" w:lineRule="auto"/>
      </w:pPr>
      <w:r>
        <w:rPr>
          <w:rFonts w:ascii="Calibri" w:eastAsia="Calibri" w:hAnsi="Calibri" w:cs="Calibri"/>
          <w:color w:val="000000"/>
          <w:sz w:val="22"/>
          <w:szCs w:val="22"/>
        </w:rPr>
        <w:t xml:space="preserve">SEA has benefited from two operationally active capacity improvements since the 2016 FAA baseline. First, Time-Based Flow Management (TBFM) has been deployed at the </w:t>
      </w:r>
      <w:proofErr w:type="spellStart"/>
      <w:r>
        <w:rPr>
          <w:rFonts w:ascii="Calibri" w:eastAsia="Calibri" w:hAnsi="Calibri" w:cs="Calibri"/>
          <w:color w:val="000000"/>
          <w:sz w:val="22"/>
          <w:szCs w:val="22"/>
        </w:rPr>
        <w:t>en</w:t>
      </w:r>
      <w:proofErr w:type="spellEnd"/>
      <w:r>
        <w:rPr>
          <w:rFonts w:ascii="Calibri" w:eastAsia="Calibri" w:hAnsi="Calibri" w:cs="Calibri"/>
          <w:color w:val="000000"/>
          <w:sz w:val="22"/>
          <w:szCs w:val="22"/>
        </w:rPr>
        <w:t xml:space="preserve"> route and center level, improving arrival metering and reducing miles-in-trail restrictions. Second, Reduced Diagonal Spacing — a 1 NM reduction in separation for runways with 2,500 feet or greater centerline spacing — has increased arrival throughput under both VMC and IMC conditions. These are identified as the current capacity improvements in the FAA Airport Capacity Profile for SEA (FAA, 2016 updated profile).</w:t>
      </w:r>
    </w:p>
    <w:p w14:paraId="535E9F17" w14:textId="77777777" w:rsidR="00CC3B7D" w:rsidRDefault="007B010E">
      <w:pPr>
        <w:spacing w:after="60" w:line="360" w:lineRule="auto"/>
      </w:pPr>
      <w:r>
        <w:rPr>
          <w:rFonts w:ascii="Calibri" w:eastAsia="Calibri" w:hAnsi="Calibri" w:cs="Calibri"/>
          <w:b/>
          <w:bCs/>
          <w:color w:val="1E3A6E"/>
          <w:sz w:val="20"/>
          <w:szCs w:val="20"/>
        </w:rPr>
        <w:t>Table 5-1: Current Capacity Improvements at SEA — Estimated Impact</w:t>
      </w:r>
    </w:p>
    <w:p w14:paraId="535E9F18"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870"/>
        <w:gridCol w:w="1870"/>
        <w:gridCol w:w="1870"/>
        <w:gridCol w:w="1870"/>
        <w:gridCol w:w="1870"/>
      </w:tblGrid>
      <w:tr w:rsidR="00CC3B7D" w14:paraId="535E9F1E" w14:textId="77777777">
        <w:tblPrEx>
          <w:tblCellMar>
            <w:top w:w="0" w:type="dxa"/>
            <w:bottom w:w="0" w:type="dxa"/>
          </w:tblCellMar>
        </w:tblPrEx>
        <w:trPr>
          <w:tblHeader/>
        </w:trPr>
        <w:tc>
          <w:tcPr>
            <w:tcW w:w="1000" w:type="pct"/>
            <w:shd w:val="clear" w:color="auto" w:fill="CCD9EA"/>
            <w:tcMar>
              <w:top w:w="75" w:type="dxa"/>
              <w:left w:w="105" w:type="dxa"/>
              <w:bottom w:w="75" w:type="dxa"/>
              <w:right w:w="105" w:type="dxa"/>
            </w:tcMar>
          </w:tcPr>
          <w:p w14:paraId="535E9F19" w14:textId="77777777" w:rsidR="00CC3B7D" w:rsidRDefault="007B010E">
            <w:r>
              <w:rPr>
                <w:rFonts w:ascii="Calibri" w:eastAsia="Calibri" w:hAnsi="Calibri" w:cs="Calibri"/>
                <w:b/>
                <w:bCs/>
                <w:color w:val="0D2240"/>
                <w:sz w:val="20"/>
                <w:szCs w:val="20"/>
              </w:rPr>
              <w:t>Improvement</w:t>
            </w:r>
          </w:p>
        </w:tc>
        <w:tc>
          <w:tcPr>
            <w:tcW w:w="1000" w:type="pct"/>
            <w:shd w:val="clear" w:color="auto" w:fill="CCD9EA"/>
            <w:tcMar>
              <w:top w:w="75" w:type="dxa"/>
              <w:left w:w="105" w:type="dxa"/>
              <w:bottom w:w="75" w:type="dxa"/>
              <w:right w:w="105" w:type="dxa"/>
            </w:tcMar>
          </w:tcPr>
          <w:p w14:paraId="535E9F1A" w14:textId="77777777" w:rsidR="00CC3B7D" w:rsidRDefault="007B010E">
            <w:r>
              <w:rPr>
                <w:rFonts w:ascii="Calibri" w:eastAsia="Calibri" w:hAnsi="Calibri" w:cs="Calibri"/>
                <w:b/>
                <w:bCs/>
                <w:color w:val="0D2240"/>
                <w:sz w:val="20"/>
                <w:szCs w:val="20"/>
              </w:rPr>
              <w:t>Type</w:t>
            </w:r>
          </w:p>
        </w:tc>
        <w:tc>
          <w:tcPr>
            <w:tcW w:w="1000" w:type="pct"/>
            <w:shd w:val="clear" w:color="auto" w:fill="CCD9EA"/>
            <w:tcMar>
              <w:top w:w="75" w:type="dxa"/>
              <w:left w:w="105" w:type="dxa"/>
              <w:bottom w:w="75" w:type="dxa"/>
              <w:right w:w="105" w:type="dxa"/>
            </w:tcMar>
          </w:tcPr>
          <w:p w14:paraId="535E9F1B" w14:textId="77777777" w:rsidR="00CC3B7D" w:rsidRDefault="007B010E">
            <w:r>
              <w:rPr>
                <w:rFonts w:ascii="Calibri" w:eastAsia="Calibri" w:hAnsi="Calibri" w:cs="Calibri"/>
                <w:b/>
                <w:bCs/>
                <w:color w:val="0D2240"/>
                <w:sz w:val="20"/>
                <w:szCs w:val="20"/>
              </w:rPr>
              <w:t>Status at SEA</w:t>
            </w:r>
          </w:p>
        </w:tc>
        <w:tc>
          <w:tcPr>
            <w:tcW w:w="1000" w:type="pct"/>
            <w:shd w:val="clear" w:color="auto" w:fill="CCD9EA"/>
            <w:tcMar>
              <w:top w:w="75" w:type="dxa"/>
              <w:left w:w="105" w:type="dxa"/>
              <w:bottom w:w="75" w:type="dxa"/>
              <w:right w:w="105" w:type="dxa"/>
            </w:tcMar>
          </w:tcPr>
          <w:p w14:paraId="535E9F1C" w14:textId="77777777" w:rsidR="00CC3B7D" w:rsidRDefault="007B010E">
            <w:r>
              <w:rPr>
                <w:rFonts w:ascii="Calibri" w:eastAsia="Calibri" w:hAnsi="Calibri" w:cs="Calibri"/>
                <w:b/>
                <w:bCs/>
                <w:color w:val="0D2240"/>
                <w:sz w:val="20"/>
                <w:szCs w:val="20"/>
              </w:rPr>
              <w:t>Estimated Arrival Rate Benefit</w:t>
            </w:r>
          </w:p>
        </w:tc>
        <w:tc>
          <w:tcPr>
            <w:tcW w:w="1000" w:type="pct"/>
            <w:shd w:val="clear" w:color="auto" w:fill="CCD9EA"/>
            <w:tcMar>
              <w:top w:w="75" w:type="dxa"/>
              <w:left w:w="105" w:type="dxa"/>
              <w:bottom w:w="75" w:type="dxa"/>
              <w:right w:w="105" w:type="dxa"/>
            </w:tcMar>
          </w:tcPr>
          <w:p w14:paraId="535E9F1D" w14:textId="77777777" w:rsidR="00CC3B7D" w:rsidRDefault="007B010E">
            <w:r>
              <w:rPr>
                <w:rFonts w:ascii="Calibri" w:eastAsia="Calibri" w:hAnsi="Calibri" w:cs="Calibri"/>
                <w:b/>
                <w:bCs/>
                <w:color w:val="0D2240"/>
                <w:sz w:val="20"/>
                <w:szCs w:val="20"/>
              </w:rPr>
              <w:t>Source</w:t>
            </w:r>
          </w:p>
        </w:tc>
      </w:tr>
      <w:tr w:rsidR="00CC3B7D" w14:paraId="535E9F24"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1F" w14:textId="77777777" w:rsidR="00CC3B7D" w:rsidRDefault="007B010E">
            <w:r>
              <w:rPr>
                <w:rFonts w:ascii="Calibri" w:eastAsia="Calibri" w:hAnsi="Calibri" w:cs="Calibri"/>
                <w:color w:val="000000"/>
                <w:sz w:val="20"/>
                <w:szCs w:val="20"/>
              </w:rPr>
              <w:t>TBFM (Time-Based Flow Management)</w:t>
            </w:r>
          </w:p>
        </w:tc>
        <w:tc>
          <w:tcPr>
            <w:tcW w:w="1000" w:type="pct"/>
            <w:shd w:val="clear" w:color="auto" w:fill="FFFFFF"/>
            <w:tcMar>
              <w:top w:w="75" w:type="dxa"/>
              <w:left w:w="105" w:type="dxa"/>
              <w:bottom w:w="75" w:type="dxa"/>
              <w:right w:w="105" w:type="dxa"/>
            </w:tcMar>
          </w:tcPr>
          <w:p w14:paraId="535E9F20" w14:textId="77777777" w:rsidR="00CC3B7D" w:rsidRDefault="007B010E">
            <w:r>
              <w:rPr>
                <w:rFonts w:ascii="Calibri" w:eastAsia="Calibri" w:hAnsi="Calibri" w:cs="Calibri"/>
                <w:color w:val="000000"/>
                <w:sz w:val="20"/>
                <w:szCs w:val="20"/>
              </w:rPr>
              <w:t>En route metering / sequencing</w:t>
            </w:r>
          </w:p>
        </w:tc>
        <w:tc>
          <w:tcPr>
            <w:tcW w:w="1000" w:type="pct"/>
            <w:shd w:val="clear" w:color="auto" w:fill="FFFFFF"/>
            <w:tcMar>
              <w:top w:w="75" w:type="dxa"/>
              <w:left w:w="105" w:type="dxa"/>
              <w:bottom w:w="75" w:type="dxa"/>
              <w:right w:w="105" w:type="dxa"/>
            </w:tcMar>
          </w:tcPr>
          <w:p w14:paraId="535E9F21" w14:textId="77777777" w:rsidR="00CC3B7D" w:rsidRDefault="007B010E">
            <w:r>
              <w:rPr>
                <w:rFonts w:ascii="Calibri" w:eastAsia="Calibri" w:hAnsi="Calibri" w:cs="Calibri"/>
                <w:color w:val="000000"/>
                <w:sz w:val="20"/>
                <w:szCs w:val="20"/>
              </w:rPr>
              <w:t>Operational</w:t>
            </w:r>
          </w:p>
        </w:tc>
        <w:tc>
          <w:tcPr>
            <w:tcW w:w="1000" w:type="pct"/>
            <w:shd w:val="clear" w:color="auto" w:fill="FFFFFF"/>
            <w:tcMar>
              <w:top w:w="75" w:type="dxa"/>
              <w:left w:w="105" w:type="dxa"/>
              <w:bottom w:w="75" w:type="dxa"/>
              <w:right w:w="105" w:type="dxa"/>
            </w:tcMar>
          </w:tcPr>
          <w:p w14:paraId="535E9F22" w14:textId="77777777" w:rsidR="00CC3B7D" w:rsidRDefault="007B010E">
            <w:r>
              <w:rPr>
                <w:rFonts w:ascii="Calibri" w:eastAsia="Calibri" w:hAnsi="Calibri" w:cs="Calibri"/>
                <w:color w:val="000000"/>
                <w:sz w:val="20"/>
                <w:szCs w:val="20"/>
              </w:rPr>
              <w:t>+1 to +2 ops/</w:t>
            </w:r>
            <w:proofErr w:type="spellStart"/>
            <w:r>
              <w:rPr>
                <w:rFonts w:ascii="Calibri" w:eastAsia="Calibri" w:hAnsi="Calibri" w:cs="Calibri"/>
                <w:color w:val="000000"/>
                <w:sz w:val="20"/>
                <w:szCs w:val="20"/>
              </w:rPr>
              <w:t>hr</w:t>
            </w:r>
            <w:proofErr w:type="spellEnd"/>
            <w:r>
              <w:rPr>
                <w:rFonts w:ascii="Calibri" w:eastAsia="Calibri" w:hAnsi="Calibri" w:cs="Calibri"/>
                <w:color w:val="000000"/>
                <w:sz w:val="20"/>
                <w:szCs w:val="20"/>
              </w:rPr>
              <w:t xml:space="preserve"> (VMC and IMC)</w:t>
            </w:r>
          </w:p>
        </w:tc>
        <w:tc>
          <w:tcPr>
            <w:tcW w:w="1000" w:type="pct"/>
            <w:shd w:val="clear" w:color="auto" w:fill="FFFFFF"/>
            <w:tcMar>
              <w:top w:w="75" w:type="dxa"/>
              <w:left w:w="105" w:type="dxa"/>
              <w:bottom w:w="75" w:type="dxa"/>
              <w:right w:w="105" w:type="dxa"/>
            </w:tcMar>
          </w:tcPr>
          <w:p w14:paraId="535E9F23" w14:textId="77777777" w:rsidR="00CC3B7D" w:rsidRDefault="007B010E">
            <w:r>
              <w:rPr>
                <w:rFonts w:ascii="Calibri" w:eastAsia="Calibri" w:hAnsi="Calibri" w:cs="Calibri"/>
                <w:color w:val="000000"/>
                <w:sz w:val="20"/>
                <w:szCs w:val="20"/>
              </w:rPr>
              <w:t>FAA Capacity Profile / ASPM</w:t>
            </w:r>
          </w:p>
        </w:tc>
      </w:tr>
      <w:tr w:rsidR="00CC3B7D" w14:paraId="535E9F2A"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25" w14:textId="77777777" w:rsidR="00CC3B7D" w:rsidRDefault="007B010E">
            <w:r>
              <w:rPr>
                <w:rFonts w:ascii="Calibri" w:eastAsia="Calibri" w:hAnsi="Calibri" w:cs="Calibri"/>
                <w:color w:val="000000"/>
                <w:sz w:val="20"/>
                <w:szCs w:val="20"/>
              </w:rPr>
              <w:t>Reduced Diagonal Spacing (1NM)</w:t>
            </w:r>
          </w:p>
        </w:tc>
        <w:tc>
          <w:tcPr>
            <w:tcW w:w="1000" w:type="pct"/>
            <w:shd w:val="clear" w:color="auto" w:fill="FFFFFF"/>
            <w:tcMar>
              <w:top w:w="75" w:type="dxa"/>
              <w:left w:w="105" w:type="dxa"/>
              <w:bottom w:w="75" w:type="dxa"/>
              <w:right w:w="105" w:type="dxa"/>
            </w:tcMar>
          </w:tcPr>
          <w:p w14:paraId="535E9F26" w14:textId="77777777" w:rsidR="00CC3B7D" w:rsidRDefault="007B010E">
            <w:r>
              <w:rPr>
                <w:rFonts w:ascii="Calibri" w:eastAsia="Calibri" w:hAnsi="Calibri" w:cs="Calibri"/>
                <w:color w:val="000000"/>
                <w:sz w:val="20"/>
                <w:szCs w:val="20"/>
              </w:rPr>
              <w:t>Separation standard reduction</w:t>
            </w:r>
          </w:p>
        </w:tc>
        <w:tc>
          <w:tcPr>
            <w:tcW w:w="1000" w:type="pct"/>
            <w:shd w:val="clear" w:color="auto" w:fill="FFFFFF"/>
            <w:tcMar>
              <w:top w:w="75" w:type="dxa"/>
              <w:left w:w="105" w:type="dxa"/>
              <w:bottom w:w="75" w:type="dxa"/>
              <w:right w:w="105" w:type="dxa"/>
            </w:tcMar>
          </w:tcPr>
          <w:p w14:paraId="535E9F27" w14:textId="77777777" w:rsidR="00CC3B7D" w:rsidRDefault="007B010E">
            <w:r>
              <w:rPr>
                <w:rFonts w:ascii="Calibri" w:eastAsia="Calibri" w:hAnsi="Calibri" w:cs="Calibri"/>
                <w:color w:val="000000"/>
                <w:sz w:val="20"/>
                <w:szCs w:val="20"/>
              </w:rPr>
              <w:t>Operational</w:t>
            </w:r>
          </w:p>
        </w:tc>
        <w:tc>
          <w:tcPr>
            <w:tcW w:w="1000" w:type="pct"/>
            <w:shd w:val="clear" w:color="auto" w:fill="FFFFFF"/>
            <w:tcMar>
              <w:top w:w="75" w:type="dxa"/>
              <w:left w:w="105" w:type="dxa"/>
              <w:bottom w:w="75" w:type="dxa"/>
              <w:right w:w="105" w:type="dxa"/>
            </w:tcMar>
          </w:tcPr>
          <w:p w14:paraId="535E9F28" w14:textId="77777777" w:rsidR="00CC3B7D" w:rsidRDefault="007B010E">
            <w:r>
              <w:rPr>
                <w:rFonts w:ascii="Calibri" w:eastAsia="Calibri" w:hAnsi="Calibri" w:cs="Calibri"/>
                <w:color w:val="000000"/>
                <w:sz w:val="20"/>
                <w:szCs w:val="20"/>
              </w:rPr>
              <w:t>+2 to +3 ops/</w:t>
            </w:r>
            <w:proofErr w:type="spellStart"/>
            <w:r>
              <w:rPr>
                <w:rFonts w:ascii="Calibri" w:eastAsia="Calibri" w:hAnsi="Calibri" w:cs="Calibri"/>
                <w:color w:val="000000"/>
                <w:sz w:val="20"/>
                <w:szCs w:val="20"/>
              </w:rPr>
              <w:t>hr</w:t>
            </w:r>
            <w:proofErr w:type="spellEnd"/>
            <w:r>
              <w:rPr>
                <w:rFonts w:ascii="Calibri" w:eastAsia="Calibri" w:hAnsi="Calibri" w:cs="Calibri"/>
                <w:color w:val="000000"/>
                <w:sz w:val="20"/>
                <w:szCs w:val="20"/>
              </w:rPr>
              <w:t xml:space="preserve"> (arrival)</w:t>
            </w:r>
          </w:p>
        </w:tc>
        <w:tc>
          <w:tcPr>
            <w:tcW w:w="1000" w:type="pct"/>
            <w:shd w:val="clear" w:color="auto" w:fill="FFFFFF"/>
            <w:tcMar>
              <w:top w:w="75" w:type="dxa"/>
              <w:left w:w="105" w:type="dxa"/>
              <w:bottom w:w="75" w:type="dxa"/>
              <w:right w:w="105" w:type="dxa"/>
            </w:tcMar>
          </w:tcPr>
          <w:p w14:paraId="535E9F29" w14:textId="77777777" w:rsidR="00CC3B7D" w:rsidRDefault="007B010E">
            <w:r>
              <w:rPr>
                <w:rFonts w:ascii="Calibri" w:eastAsia="Calibri" w:hAnsi="Calibri" w:cs="Calibri"/>
                <w:color w:val="000000"/>
                <w:sz w:val="20"/>
                <w:szCs w:val="20"/>
              </w:rPr>
              <w:t>FAA Capacity Profile</w:t>
            </w:r>
          </w:p>
        </w:tc>
      </w:tr>
      <w:tr w:rsidR="00CC3B7D" w14:paraId="535E9F30"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2B" w14:textId="77777777" w:rsidR="00CC3B7D" w:rsidRDefault="007B010E">
            <w:r>
              <w:rPr>
                <w:rFonts w:ascii="Calibri" w:eastAsia="Calibri" w:hAnsi="Calibri" w:cs="Calibri"/>
                <w:color w:val="000000"/>
                <w:sz w:val="20"/>
                <w:szCs w:val="20"/>
              </w:rPr>
              <w:lastRenderedPageBreak/>
              <w:t>TSAS (Terminal Sequencing and Spacing)</w:t>
            </w:r>
          </w:p>
        </w:tc>
        <w:tc>
          <w:tcPr>
            <w:tcW w:w="1000" w:type="pct"/>
            <w:shd w:val="clear" w:color="auto" w:fill="FFFFFF"/>
            <w:tcMar>
              <w:top w:w="75" w:type="dxa"/>
              <w:left w:w="105" w:type="dxa"/>
              <w:bottom w:w="75" w:type="dxa"/>
              <w:right w:w="105" w:type="dxa"/>
            </w:tcMar>
          </w:tcPr>
          <w:p w14:paraId="535E9F2C" w14:textId="77777777" w:rsidR="00CC3B7D" w:rsidRDefault="007B010E">
            <w:r>
              <w:rPr>
                <w:rFonts w:ascii="Calibri" w:eastAsia="Calibri" w:hAnsi="Calibri" w:cs="Calibri"/>
                <w:color w:val="000000"/>
                <w:sz w:val="20"/>
                <w:szCs w:val="20"/>
              </w:rPr>
              <w:t>Terminal-area metering extension</w:t>
            </w:r>
          </w:p>
        </w:tc>
        <w:tc>
          <w:tcPr>
            <w:tcW w:w="1000" w:type="pct"/>
            <w:shd w:val="clear" w:color="auto" w:fill="FFFFFF"/>
            <w:tcMar>
              <w:top w:w="75" w:type="dxa"/>
              <w:left w:w="105" w:type="dxa"/>
              <w:bottom w:w="75" w:type="dxa"/>
              <w:right w:w="105" w:type="dxa"/>
            </w:tcMar>
          </w:tcPr>
          <w:p w14:paraId="535E9F2D" w14:textId="77777777" w:rsidR="00CC3B7D" w:rsidRDefault="007B010E">
            <w:r>
              <w:rPr>
                <w:rFonts w:ascii="Calibri" w:eastAsia="Calibri" w:hAnsi="Calibri" w:cs="Calibri"/>
                <w:color w:val="000000"/>
                <w:sz w:val="20"/>
                <w:szCs w:val="20"/>
              </w:rPr>
              <w:t>Future improvement (not yet deployed at SEA)</w:t>
            </w:r>
          </w:p>
        </w:tc>
        <w:tc>
          <w:tcPr>
            <w:tcW w:w="1000" w:type="pct"/>
            <w:shd w:val="clear" w:color="auto" w:fill="FFFFFF"/>
            <w:tcMar>
              <w:top w:w="75" w:type="dxa"/>
              <w:left w:w="105" w:type="dxa"/>
              <w:bottom w:w="75" w:type="dxa"/>
              <w:right w:w="105" w:type="dxa"/>
            </w:tcMar>
          </w:tcPr>
          <w:p w14:paraId="535E9F2E" w14:textId="77777777" w:rsidR="00CC3B7D" w:rsidRDefault="007B010E">
            <w:r>
              <w:rPr>
                <w:rFonts w:ascii="Calibri" w:eastAsia="Calibri" w:hAnsi="Calibri" w:cs="Calibri"/>
                <w:color w:val="000000"/>
                <w:sz w:val="20"/>
                <w:szCs w:val="20"/>
              </w:rPr>
              <w:t>+2 to +4 ops/</w:t>
            </w:r>
            <w:proofErr w:type="spellStart"/>
            <w:r>
              <w:rPr>
                <w:rFonts w:ascii="Calibri" w:eastAsia="Calibri" w:hAnsi="Calibri" w:cs="Calibri"/>
                <w:color w:val="000000"/>
                <w:sz w:val="20"/>
                <w:szCs w:val="20"/>
              </w:rPr>
              <w:t>hr</w:t>
            </w:r>
            <w:proofErr w:type="spellEnd"/>
            <w:r>
              <w:rPr>
                <w:rFonts w:ascii="Calibri" w:eastAsia="Calibri" w:hAnsi="Calibri" w:cs="Calibri"/>
                <w:color w:val="000000"/>
                <w:sz w:val="20"/>
                <w:szCs w:val="20"/>
              </w:rPr>
              <w:t xml:space="preserve"> (projected)</w:t>
            </w:r>
          </w:p>
        </w:tc>
        <w:tc>
          <w:tcPr>
            <w:tcW w:w="1000" w:type="pct"/>
            <w:shd w:val="clear" w:color="auto" w:fill="FFFFFF"/>
            <w:tcMar>
              <w:top w:w="75" w:type="dxa"/>
              <w:left w:w="105" w:type="dxa"/>
              <w:bottom w:w="75" w:type="dxa"/>
              <w:right w:w="105" w:type="dxa"/>
            </w:tcMar>
          </w:tcPr>
          <w:p w14:paraId="535E9F2F" w14:textId="77777777" w:rsidR="00CC3B7D" w:rsidRDefault="007B010E">
            <w:r>
              <w:rPr>
                <w:rFonts w:ascii="Calibri" w:eastAsia="Calibri" w:hAnsi="Calibri" w:cs="Calibri"/>
                <w:color w:val="000000"/>
                <w:sz w:val="20"/>
                <w:szCs w:val="20"/>
              </w:rPr>
              <w:t>FAA Capacity Profile</w:t>
            </w:r>
          </w:p>
        </w:tc>
      </w:tr>
    </w:tbl>
    <w:p w14:paraId="535E9F31" w14:textId="77777777" w:rsidR="00CC3B7D" w:rsidRDefault="00CC3B7D">
      <w:pPr>
        <w:spacing w:after="200"/>
      </w:pPr>
    </w:p>
    <w:p w14:paraId="535E9F32" w14:textId="77777777" w:rsidR="00CC3B7D" w:rsidRDefault="007B010E">
      <w:pPr>
        <w:spacing w:before="60" w:after="240" w:line="360" w:lineRule="auto"/>
      </w:pPr>
      <w:r>
        <w:rPr>
          <w:rFonts w:ascii="Calibri" w:eastAsia="Calibri" w:hAnsi="Calibri" w:cs="Calibri"/>
          <w:i/>
          <w:iCs/>
          <w:color w:val="5A5A5A"/>
          <w:sz w:val="18"/>
          <w:szCs w:val="18"/>
        </w:rPr>
        <w:t xml:space="preserve">Note: TSAS is identified by the FAA as a planned future improvement at SEA. When deployed, it will extend time-based metering from the </w:t>
      </w:r>
      <w:proofErr w:type="spellStart"/>
      <w:r>
        <w:rPr>
          <w:rFonts w:ascii="Calibri" w:eastAsia="Calibri" w:hAnsi="Calibri" w:cs="Calibri"/>
          <w:i/>
          <w:iCs/>
          <w:color w:val="5A5A5A"/>
          <w:sz w:val="18"/>
          <w:szCs w:val="18"/>
        </w:rPr>
        <w:t>en</w:t>
      </w:r>
      <w:proofErr w:type="spellEnd"/>
      <w:r>
        <w:rPr>
          <w:rFonts w:ascii="Calibri" w:eastAsia="Calibri" w:hAnsi="Calibri" w:cs="Calibri"/>
          <w:i/>
          <w:iCs/>
          <w:color w:val="5A5A5A"/>
          <w:sz w:val="18"/>
          <w:szCs w:val="18"/>
        </w:rPr>
        <w:t xml:space="preserve"> route domain into the TRACON via slot markers and speed advisories, enabling tighter and more consistent runway delivery intervals. Capacity projections in this appendix do not assume TSAS deployment; any future TSAS implementation at SEA would warrant a separate updated analysis.</w:t>
      </w:r>
    </w:p>
    <w:p w14:paraId="535E9F33" w14:textId="77777777" w:rsidR="00CC3B7D" w:rsidRDefault="007B010E">
      <w:pPr>
        <w:pStyle w:val="Heading1"/>
        <w:spacing w:before="360" w:after="80" w:line="312" w:lineRule="auto"/>
      </w:pPr>
      <w:r>
        <w:rPr>
          <w:rFonts w:ascii="Calibri" w:eastAsia="Calibri" w:hAnsi="Calibri" w:cs="Calibri"/>
          <w:color w:val="1A1A1A"/>
          <w:sz w:val="40"/>
          <w:szCs w:val="40"/>
        </w:rPr>
        <w:t>Section 6 – Annual Operations Translation</w:t>
      </w:r>
    </w:p>
    <w:p w14:paraId="535E9F34" w14:textId="77777777" w:rsidR="00CC3B7D" w:rsidRDefault="007B010E">
      <w:pPr>
        <w:spacing w:before="60" w:after="120" w:line="360" w:lineRule="auto"/>
      </w:pPr>
      <w:r>
        <w:rPr>
          <w:rFonts w:ascii="Calibri" w:eastAsia="Calibri" w:hAnsi="Calibri" w:cs="Calibri"/>
          <w:color w:val="000000"/>
          <w:sz w:val="22"/>
          <w:szCs w:val="22"/>
        </w:rPr>
        <w:t>Hourly flow rates must be translated into annual operations counts to support long-range planning comparisons. The methodology applied here follows the standard FAA planning approach as described in FAA Order 5090.3C (Field Formulation of the NPIAS). The steps below outline the calculation sequence; parameters are defined in Table 6-1.</w:t>
      </w:r>
    </w:p>
    <w:p w14:paraId="535E9F35" w14:textId="77777777" w:rsidR="00CC3B7D" w:rsidRDefault="007B010E">
      <w:pPr>
        <w:pStyle w:val="ListParagraph"/>
        <w:numPr>
          <w:ilvl w:val="0"/>
          <w:numId w:val="2"/>
        </w:numPr>
        <w:spacing w:after="60" w:line="408" w:lineRule="auto"/>
      </w:pPr>
      <w:r>
        <w:rPr>
          <w:rFonts w:ascii="Calibri" w:eastAsia="Calibri" w:hAnsi="Calibri" w:cs="Calibri"/>
          <w:color w:val="000000"/>
          <w:sz w:val="22"/>
          <w:szCs w:val="22"/>
        </w:rPr>
        <w:t>Identify peak hourly declared capacity for VMC and IMC conditions separately.</w:t>
      </w:r>
    </w:p>
    <w:p w14:paraId="535E9F36" w14:textId="77777777" w:rsidR="00CC3B7D" w:rsidRDefault="007B010E">
      <w:pPr>
        <w:pStyle w:val="ListParagraph"/>
        <w:numPr>
          <w:ilvl w:val="0"/>
          <w:numId w:val="2"/>
        </w:numPr>
        <w:spacing w:after="60" w:line="408" w:lineRule="auto"/>
      </w:pPr>
      <w:r>
        <w:rPr>
          <w:rFonts w:ascii="Calibri" w:eastAsia="Calibri" w:hAnsi="Calibri" w:cs="Calibri"/>
          <w:color w:val="000000"/>
          <w:sz w:val="22"/>
          <w:szCs w:val="22"/>
        </w:rPr>
        <w:t>Apply a capacity utilization factor to account for off-peak hours, night curfew considerations, and demand variability across the operating day.</w:t>
      </w:r>
    </w:p>
    <w:p w14:paraId="535E9F37" w14:textId="77777777" w:rsidR="00CC3B7D" w:rsidRDefault="007B010E">
      <w:pPr>
        <w:pStyle w:val="ListParagraph"/>
        <w:numPr>
          <w:ilvl w:val="0"/>
          <w:numId w:val="2"/>
        </w:numPr>
        <w:spacing w:after="60" w:line="408" w:lineRule="auto"/>
      </w:pPr>
      <w:r>
        <w:rPr>
          <w:rFonts w:ascii="Calibri" w:eastAsia="Calibri" w:hAnsi="Calibri" w:cs="Calibri"/>
          <w:color w:val="000000"/>
          <w:sz w:val="22"/>
          <w:szCs w:val="22"/>
        </w:rPr>
        <w:t>Multiply by design-day operating hours (18 hours is the standard planning assumption for SEA).</w:t>
      </w:r>
    </w:p>
    <w:p w14:paraId="535E9F38" w14:textId="77777777" w:rsidR="00CC3B7D" w:rsidRDefault="007B010E">
      <w:pPr>
        <w:pStyle w:val="ListParagraph"/>
        <w:numPr>
          <w:ilvl w:val="0"/>
          <w:numId w:val="2"/>
        </w:numPr>
        <w:spacing w:after="60" w:line="408" w:lineRule="auto"/>
      </w:pPr>
      <w:r>
        <w:rPr>
          <w:rFonts w:ascii="Calibri" w:eastAsia="Calibri" w:hAnsi="Calibri" w:cs="Calibri"/>
          <w:color w:val="000000"/>
          <w:sz w:val="22"/>
          <w:szCs w:val="22"/>
        </w:rPr>
        <w:t>Apply a seasonal adjustment factor reflecting SEA's demand concentration during the summer peak period.</w:t>
      </w:r>
    </w:p>
    <w:p w14:paraId="535E9F39" w14:textId="77777777" w:rsidR="00CC3B7D" w:rsidRDefault="007B010E">
      <w:pPr>
        <w:pStyle w:val="ListParagraph"/>
        <w:numPr>
          <w:ilvl w:val="0"/>
          <w:numId w:val="2"/>
        </w:numPr>
        <w:spacing w:after="60" w:line="408" w:lineRule="auto"/>
      </w:pPr>
      <w:r>
        <w:rPr>
          <w:rFonts w:ascii="Calibri" w:eastAsia="Calibri" w:hAnsi="Calibri" w:cs="Calibri"/>
          <w:color w:val="000000"/>
          <w:sz w:val="22"/>
          <w:szCs w:val="22"/>
        </w:rPr>
        <w:t>Multiply by annual operating days (365, adjusted for routine maintenance downtime).</w:t>
      </w:r>
    </w:p>
    <w:p w14:paraId="535E9F3A" w14:textId="77777777" w:rsidR="00CC3B7D" w:rsidRDefault="007B010E">
      <w:pPr>
        <w:pStyle w:val="ListParagraph"/>
        <w:numPr>
          <w:ilvl w:val="0"/>
          <w:numId w:val="2"/>
        </w:numPr>
        <w:spacing w:after="60" w:line="408" w:lineRule="auto"/>
      </w:pPr>
      <w:r>
        <w:rPr>
          <w:rFonts w:ascii="Calibri" w:eastAsia="Calibri" w:hAnsi="Calibri" w:cs="Calibri"/>
          <w:color w:val="000000"/>
          <w:sz w:val="22"/>
          <w:szCs w:val="22"/>
        </w:rPr>
        <w:t>Cross-check the result against BTS T-100 annual enplanement and operations data to confirm alignment with observed totals.</w:t>
      </w:r>
    </w:p>
    <w:p w14:paraId="535E9F3B" w14:textId="77777777" w:rsidR="00CC3B7D" w:rsidRDefault="007B010E">
      <w:pPr>
        <w:spacing w:after="60" w:line="360" w:lineRule="auto"/>
      </w:pPr>
      <w:r>
        <w:rPr>
          <w:rFonts w:ascii="Calibri" w:eastAsia="Calibri" w:hAnsi="Calibri" w:cs="Calibri"/>
          <w:b/>
          <w:bCs/>
          <w:color w:val="1E3A6E"/>
          <w:sz w:val="20"/>
          <w:szCs w:val="20"/>
        </w:rPr>
        <w:t>Table 6-1: Annual Operations Translation – Methodology Parameters</w:t>
      </w:r>
    </w:p>
    <w:p w14:paraId="535E9F3C"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3085"/>
        <w:gridCol w:w="3086"/>
        <w:gridCol w:w="3179"/>
      </w:tblGrid>
      <w:tr w:rsidR="00CC3B7D" w14:paraId="535E9F40" w14:textId="77777777">
        <w:tblPrEx>
          <w:tblCellMar>
            <w:top w:w="0" w:type="dxa"/>
            <w:bottom w:w="0" w:type="dxa"/>
          </w:tblCellMar>
        </w:tblPrEx>
        <w:trPr>
          <w:tblHeader/>
        </w:trPr>
        <w:tc>
          <w:tcPr>
            <w:tcW w:w="1650" w:type="pct"/>
            <w:shd w:val="clear" w:color="auto" w:fill="CCD9EA"/>
            <w:tcMar>
              <w:top w:w="75" w:type="dxa"/>
              <w:left w:w="105" w:type="dxa"/>
              <w:bottom w:w="75" w:type="dxa"/>
              <w:right w:w="105" w:type="dxa"/>
            </w:tcMar>
          </w:tcPr>
          <w:p w14:paraId="535E9F3D" w14:textId="77777777" w:rsidR="00CC3B7D" w:rsidRDefault="007B010E">
            <w:r>
              <w:rPr>
                <w:rFonts w:ascii="Calibri" w:eastAsia="Calibri" w:hAnsi="Calibri" w:cs="Calibri"/>
                <w:b/>
                <w:bCs/>
                <w:color w:val="0D2240"/>
                <w:sz w:val="20"/>
                <w:szCs w:val="20"/>
              </w:rPr>
              <w:t>Parameter</w:t>
            </w:r>
          </w:p>
        </w:tc>
        <w:tc>
          <w:tcPr>
            <w:tcW w:w="1650" w:type="pct"/>
            <w:shd w:val="clear" w:color="auto" w:fill="CCD9EA"/>
            <w:tcMar>
              <w:top w:w="75" w:type="dxa"/>
              <w:left w:w="105" w:type="dxa"/>
              <w:bottom w:w="75" w:type="dxa"/>
              <w:right w:w="105" w:type="dxa"/>
            </w:tcMar>
          </w:tcPr>
          <w:p w14:paraId="535E9F3E" w14:textId="77777777" w:rsidR="00CC3B7D" w:rsidRDefault="007B010E">
            <w:r>
              <w:rPr>
                <w:rFonts w:ascii="Calibri" w:eastAsia="Calibri" w:hAnsi="Calibri" w:cs="Calibri"/>
                <w:b/>
                <w:bCs/>
                <w:color w:val="0D2240"/>
                <w:sz w:val="20"/>
                <w:szCs w:val="20"/>
              </w:rPr>
              <w:t>Value</w:t>
            </w:r>
          </w:p>
        </w:tc>
        <w:tc>
          <w:tcPr>
            <w:tcW w:w="1700" w:type="pct"/>
            <w:shd w:val="clear" w:color="auto" w:fill="CCD9EA"/>
            <w:tcMar>
              <w:top w:w="75" w:type="dxa"/>
              <w:left w:w="105" w:type="dxa"/>
              <w:bottom w:w="75" w:type="dxa"/>
              <w:right w:w="105" w:type="dxa"/>
            </w:tcMar>
          </w:tcPr>
          <w:p w14:paraId="535E9F3F" w14:textId="77777777" w:rsidR="00CC3B7D" w:rsidRDefault="007B010E">
            <w:r>
              <w:rPr>
                <w:rFonts w:ascii="Calibri" w:eastAsia="Calibri" w:hAnsi="Calibri" w:cs="Calibri"/>
                <w:b/>
                <w:bCs/>
                <w:color w:val="0D2240"/>
                <w:sz w:val="20"/>
                <w:szCs w:val="20"/>
              </w:rPr>
              <w:t>Basis</w:t>
            </w:r>
          </w:p>
        </w:tc>
      </w:tr>
      <w:tr w:rsidR="00CC3B7D" w14:paraId="535E9F44" w14:textId="77777777">
        <w:tblPrEx>
          <w:tblCellMar>
            <w:top w:w="0" w:type="dxa"/>
            <w:bottom w:w="0" w:type="dxa"/>
          </w:tblCellMar>
        </w:tblPrEx>
        <w:tc>
          <w:tcPr>
            <w:tcW w:w="1650" w:type="pct"/>
            <w:shd w:val="clear" w:color="auto" w:fill="FFFFFF"/>
            <w:tcMar>
              <w:top w:w="75" w:type="dxa"/>
              <w:left w:w="105" w:type="dxa"/>
              <w:bottom w:w="75" w:type="dxa"/>
              <w:right w:w="105" w:type="dxa"/>
            </w:tcMar>
          </w:tcPr>
          <w:p w14:paraId="535E9F41" w14:textId="77777777" w:rsidR="00CC3B7D" w:rsidRDefault="007B010E">
            <w:r>
              <w:rPr>
                <w:rFonts w:ascii="Calibri" w:eastAsia="Calibri" w:hAnsi="Calibri" w:cs="Calibri"/>
                <w:color w:val="000000"/>
                <w:sz w:val="20"/>
                <w:szCs w:val="20"/>
              </w:rPr>
              <w:t>Peak VMC Capacity (ops/</w:t>
            </w:r>
            <w:proofErr w:type="spellStart"/>
            <w:r>
              <w:rPr>
                <w:rFonts w:ascii="Calibri" w:eastAsia="Calibri" w:hAnsi="Calibri" w:cs="Calibri"/>
                <w:color w:val="000000"/>
                <w:sz w:val="20"/>
                <w:szCs w:val="20"/>
              </w:rPr>
              <w:t>hr</w:t>
            </w:r>
            <w:proofErr w:type="spellEnd"/>
            <w:r>
              <w:rPr>
                <w:rFonts w:ascii="Calibri" w:eastAsia="Calibri" w:hAnsi="Calibri" w:cs="Calibri"/>
                <w:color w:val="000000"/>
                <w:sz w:val="20"/>
                <w:szCs w:val="20"/>
              </w:rPr>
              <w:t>)</w:t>
            </w:r>
          </w:p>
        </w:tc>
        <w:tc>
          <w:tcPr>
            <w:tcW w:w="1650" w:type="pct"/>
            <w:shd w:val="clear" w:color="auto" w:fill="FFFFFF"/>
            <w:tcMar>
              <w:top w:w="75" w:type="dxa"/>
              <w:left w:w="105" w:type="dxa"/>
              <w:bottom w:w="75" w:type="dxa"/>
              <w:right w:w="105" w:type="dxa"/>
            </w:tcMar>
          </w:tcPr>
          <w:p w14:paraId="535E9F42" w14:textId="77777777" w:rsidR="00CC3B7D" w:rsidRDefault="007B010E">
            <w:r>
              <w:rPr>
                <w:rFonts w:ascii="Calibri" w:eastAsia="Calibri" w:hAnsi="Calibri" w:cs="Calibri"/>
                <w:color w:val="000000"/>
                <w:sz w:val="20"/>
                <w:szCs w:val="20"/>
              </w:rPr>
              <w:t>65</w:t>
            </w:r>
          </w:p>
        </w:tc>
        <w:tc>
          <w:tcPr>
            <w:tcW w:w="1700" w:type="pct"/>
            <w:shd w:val="clear" w:color="auto" w:fill="FFFFFF"/>
            <w:tcMar>
              <w:top w:w="75" w:type="dxa"/>
              <w:left w:w="105" w:type="dxa"/>
              <w:bottom w:w="75" w:type="dxa"/>
              <w:right w:w="105" w:type="dxa"/>
            </w:tcMar>
          </w:tcPr>
          <w:p w14:paraId="535E9F43" w14:textId="77777777" w:rsidR="00CC3B7D" w:rsidRDefault="007B010E">
            <w:r>
              <w:rPr>
                <w:rFonts w:ascii="Calibri" w:eastAsia="Calibri" w:hAnsi="Calibri" w:cs="Calibri"/>
                <w:color w:val="000000"/>
                <w:sz w:val="20"/>
                <w:szCs w:val="20"/>
              </w:rPr>
              <w:t>2024–2026 observed</w:t>
            </w:r>
          </w:p>
        </w:tc>
      </w:tr>
      <w:tr w:rsidR="00CC3B7D" w14:paraId="535E9F48" w14:textId="77777777">
        <w:tblPrEx>
          <w:tblCellMar>
            <w:top w:w="0" w:type="dxa"/>
            <w:bottom w:w="0" w:type="dxa"/>
          </w:tblCellMar>
        </w:tblPrEx>
        <w:tc>
          <w:tcPr>
            <w:tcW w:w="1650" w:type="pct"/>
            <w:shd w:val="clear" w:color="auto" w:fill="FFFFFF"/>
            <w:tcMar>
              <w:top w:w="75" w:type="dxa"/>
              <w:left w:w="105" w:type="dxa"/>
              <w:bottom w:w="75" w:type="dxa"/>
              <w:right w:w="105" w:type="dxa"/>
            </w:tcMar>
          </w:tcPr>
          <w:p w14:paraId="535E9F45" w14:textId="77777777" w:rsidR="00CC3B7D" w:rsidRDefault="007B010E">
            <w:r>
              <w:rPr>
                <w:rFonts w:ascii="Calibri" w:eastAsia="Calibri" w:hAnsi="Calibri" w:cs="Calibri"/>
                <w:color w:val="000000"/>
                <w:sz w:val="20"/>
                <w:szCs w:val="20"/>
              </w:rPr>
              <w:t>Peak IMC Capacity (ops/</w:t>
            </w:r>
            <w:proofErr w:type="spellStart"/>
            <w:r>
              <w:rPr>
                <w:rFonts w:ascii="Calibri" w:eastAsia="Calibri" w:hAnsi="Calibri" w:cs="Calibri"/>
                <w:color w:val="000000"/>
                <w:sz w:val="20"/>
                <w:szCs w:val="20"/>
              </w:rPr>
              <w:t>hr</w:t>
            </w:r>
            <w:proofErr w:type="spellEnd"/>
            <w:r>
              <w:rPr>
                <w:rFonts w:ascii="Calibri" w:eastAsia="Calibri" w:hAnsi="Calibri" w:cs="Calibri"/>
                <w:color w:val="000000"/>
                <w:sz w:val="20"/>
                <w:szCs w:val="20"/>
              </w:rPr>
              <w:t>)</w:t>
            </w:r>
          </w:p>
        </w:tc>
        <w:tc>
          <w:tcPr>
            <w:tcW w:w="1650" w:type="pct"/>
            <w:shd w:val="clear" w:color="auto" w:fill="FFFFFF"/>
            <w:tcMar>
              <w:top w:w="75" w:type="dxa"/>
              <w:left w:w="105" w:type="dxa"/>
              <w:bottom w:w="75" w:type="dxa"/>
              <w:right w:w="105" w:type="dxa"/>
            </w:tcMar>
          </w:tcPr>
          <w:p w14:paraId="535E9F46" w14:textId="77777777" w:rsidR="00CC3B7D" w:rsidRDefault="007B010E">
            <w:r>
              <w:rPr>
                <w:rFonts w:ascii="Calibri" w:eastAsia="Calibri" w:hAnsi="Calibri" w:cs="Calibri"/>
                <w:color w:val="000000"/>
                <w:sz w:val="20"/>
                <w:szCs w:val="20"/>
              </w:rPr>
              <w:t>58</w:t>
            </w:r>
          </w:p>
        </w:tc>
        <w:tc>
          <w:tcPr>
            <w:tcW w:w="1700" w:type="pct"/>
            <w:shd w:val="clear" w:color="auto" w:fill="FFFFFF"/>
            <w:tcMar>
              <w:top w:w="75" w:type="dxa"/>
              <w:left w:w="105" w:type="dxa"/>
              <w:bottom w:w="75" w:type="dxa"/>
              <w:right w:w="105" w:type="dxa"/>
            </w:tcMar>
          </w:tcPr>
          <w:p w14:paraId="535E9F47" w14:textId="77777777" w:rsidR="00CC3B7D" w:rsidRDefault="007B010E">
            <w:r>
              <w:rPr>
                <w:rFonts w:ascii="Calibri" w:eastAsia="Calibri" w:hAnsi="Calibri" w:cs="Calibri"/>
                <w:color w:val="000000"/>
                <w:sz w:val="20"/>
                <w:szCs w:val="20"/>
              </w:rPr>
              <w:t>2024–2026 observed</w:t>
            </w:r>
          </w:p>
        </w:tc>
      </w:tr>
      <w:tr w:rsidR="00CC3B7D" w14:paraId="535E9F4C" w14:textId="77777777">
        <w:tblPrEx>
          <w:tblCellMar>
            <w:top w:w="0" w:type="dxa"/>
            <w:bottom w:w="0" w:type="dxa"/>
          </w:tblCellMar>
        </w:tblPrEx>
        <w:tc>
          <w:tcPr>
            <w:tcW w:w="1650" w:type="pct"/>
            <w:shd w:val="clear" w:color="auto" w:fill="FFFFFF"/>
            <w:tcMar>
              <w:top w:w="75" w:type="dxa"/>
              <w:left w:w="105" w:type="dxa"/>
              <w:bottom w:w="75" w:type="dxa"/>
              <w:right w:w="105" w:type="dxa"/>
            </w:tcMar>
          </w:tcPr>
          <w:p w14:paraId="535E9F49" w14:textId="77777777" w:rsidR="00CC3B7D" w:rsidRDefault="007B010E">
            <w:r>
              <w:rPr>
                <w:rFonts w:ascii="Calibri" w:eastAsia="Calibri" w:hAnsi="Calibri" w:cs="Calibri"/>
                <w:color w:val="000000"/>
                <w:sz w:val="20"/>
                <w:szCs w:val="20"/>
              </w:rPr>
              <w:t>Weighted Avg Hourly Capacity</w:t>
            </w:r>
          </w:p>
        </w:tc>
        <w:tc>
          <w:tcPr>
            <w:tcW w:w="1650" w:type="pct"/>
            <w:shd w:val="clear" w:color="auto" w:fill="FFFFFF"/>
            <w:tcMar>
              <w:top w:w="75" w:type="dxa"/>
              <w:left w:w="105" w:type="dxa"/>
              <w:bottom w:w="75" w:type="dxa"/>
              <w:right w:w="105" w:type="dxa"/>
            </w:tcMar>
          </w:tcPr>
          <w:p w14:paraId="535E9F4A" w14:textId="77777777" w:rsidR="00CC3B7D" w:rsidRDefault="007B010E">
            <w:r>
              <w:rPr>
                <w:rFonts w:ascii="Calibri" w:eastAsia="Calibri" w:hAnsi="Calibri" w:cs="Calibri"/>
                <w:color w:val="000000"/>
                <w:sz w:val="20"/>
                <w:szCs w:val="20"/>
              </w:rPr>
              <w:t>62</w:t>
            </w:r>
          </w:p>
        </w:tc>
        <w:tc>
          <w:tcPr>
            <w:tcW w:w="1700" w:type="pct"/>
            <w:shd w:val="clear" w:color="auto" w:fill="FFFFFF"/>
            <w:tcMar>
              <w:top w:w="75" w:type="dxa"/>
              <w:left w:w="105" w:type="dxa"/>
              <w:bottom w:w="75" w:type="dxa"/>
              <w:right w:w="105" w:type="dxa"/>
            </w:tcMar>
          </w:tcPr>
          <w:p w14:paraId="535E9F4B" w14:textId="77777777" w:rsidR="00CC3B7D" w:rsidRDefault="007B010E">
            <w:r>
              <w:rPr>
                <w:rFonts w:ascii="Calibri" w:eastAsia="Calibri" w:hAnsi="Calibri" w:cs="Calibri"/>
                <w:color w:val="000000"/>
                <w:sz w:val="20"/>
                <w:szCs w:val="20"/>
              </w:rPr>
              <w:t>VMC/IMC split ~70%/30%</w:t>
            </w:r>
          </w:p>
        </w:tc>
      </w:tr>
      <w:tr w:rsidR="00CC3B7D" w14:paraId="535E9F50" w14:textId="77777777">
        <w:tblPrEx>
          <w:tblCellMar>
            <w:top w:w="0" w:type="dxa"/>
            <w:bottom w:w="0" w:type="dxa"/>
          </w:tblCellMar>
        </w:tblPrEx>
        <w:tc>
          <w:tcPr>
            <w:tcW w:w="1650" w:type="pct"/>
            <w:shd w:val="clear" w:color="auto" w:fill="FFFFFF"/>
            <w:tcMar>
              <w:top w:w="75" w:type="dxa"/>
              <w:left w:w="105" w:type="dxa"/>
              <w:bottom w:w="75" w:type="dxa"/>
              <w:right w:w="105" w:type="dxa"/>
            </w:tcMar>
          </w:tcPr>
          <w:p w14:paraId="535E9F4D" w14:textId="77777777" w:rsidR="00CC3B7D" w:rsidRDefault="007B010E">
            <w:r>
              <w:rPr>
                <w:rFonts w:ascii="Calibri" w:eastAsia="Calibri" w:hAnsi="Calibri" w:cs="Calibri"/>
                <w:color w:val="000000"/>
                <w:sz w:val="20"/>
                <w:szCs w:val="20"/>
              </w:rPr>
              <w:lastRenderedPageBreak/>
              <w:t>Daily Operating Hours</w:t>
            </w:r>
          </w:p>
        </w:tc>
        <w:tc>
          <w:tcPr>
            <w:tcW w:w="1650" w:type="pct"/>
            <w:shd w:val="clear" w:color="auto" w:fill="FFFFFF"/>
            <w:tcMar>
              <w:top w:w="75" w:type="dxa"/>
              <w:left w:w="105" w:type="dxa"/>
              <w:bottom w:w="75" w:type="dxa"/>
              <w:right w:w="105" w:type="dxa"/>
            </w:tcMar>
          </w:tcPr>
          <w:p w14:paraId="535E9F4E" w14:textId="77777777" w:rsidR="00CC3B7D" w:rsidRDefault="007B010E">
            <w:r>
              <w:rPr>
                <w:rFonts w:ascii="Calibri" w:eastAsia="Calibri" w:hAnsi="Calibri" w:cs="Calibri"/>
                <w:color w:val="000000"/>
                <w:sz w:val="20"/>
                <w:szCs w:val="20"/>
              </w:rPr>
              <w:t>18</w:t>
            </w:r>
          </w:p>
        </w:tc>
        <w:tc>
          <w:tcPr>
            <w:tcW w:w="1700" w:type="pct"/>
            <w:shd w:val="clear" w:color="auto" w:fill="FFFFFF"/>
            <w:tcMar>
              <w:top w:w="75" w:type="dxa"/>
              <w:left w:w="105" w:type="dxa"/>
              <w:bottom w:w="75" w:type="dxa"/>
              <w:right w:w="105" w:type="dxa"/>
            </w:tcMar>
          </w:tcPr>
          <w:p w14:paraId="535E9F4F" w14:textId="77777777" w:rsidR="00CC3B7D" w:rsidRDefault="007B010E">
            <w:r>
              <w:rPr>
                <w:rFonts w:ascii="Calibri" w:eastAsia="Calibri" w:hAnsi="Calibri" w:cs="Calibri"/>
                <w:color w:val="000000"/>
                <w:sz w:val="20"/>
                <w:szCs w:val="20"/>
              </w:rPr>
              <w:t>Planning standard (FAA Order 5090.3C)</w:t>
            </w:r>
          </w:p>
        </w:tc>
      </w:tr>
      <w:tr w:rsidR="00CC3B7D" w14:paraId="535E9F54" w14:textId="77777777">
        <w:tblPrEx>
          <w:tblCellMar>
            <w:top w:w="0" w:type="dxa"/>
            <w:bottom w:w="0" w:type="dxa"/>
          </w:tblCellMar>
        </w:tblPrEx>
        <w:tc>
          <w:tcPr>
            <w:tcW w:w="1650" w:type="pct"/>
            <w:shd w:val="clear" w:color="auto" w:fill="FFFFFF"/>
            <w:tcMar>
              <w:top w:w="75" w:type="dxa"/>
              <w:left w:w="105" w:type="dxa"/>
              <w:bottom w:w="75" w:type="dxa"/>
              <w:right w:w="105" w:type="dxa"/>
            </w:tcMar>
          </w:tcPr>
          <w:p w14:paraId="535E9F51" w14:textId="77777777" w:rsidR="00CC3B7D" w:rsidRDefault="007B010E">
            <w:r>
              <w:rPr>
                <w:rFonts w:ascii="Calibri" w:eastAsia="Calibri" w:hAnsi="Calibri" w:cs="Calibri"/>
                <w:color w:val="000000"/>
                <w:sz w:val="20"/>
                <w:szCs w:val="20"/>
              </w:rPr>
              <w:t>Capacity Utilization Factor</w:t>
            </w:r>
          </w:p>
        </w:tc>
        <w:tc>
          <w:tcPr>
            <w:tcW w:w="1650" w:type="pct"/>
            <w:shd w:val="clear" w:color="auto" w:fill="FFFFFF"/>
            <w:tcMar>
              <w:top w:w="75" w:type="dxa"/>
              <w:left w:w="105" w:type="dxa"/>
              <w:bottom w:w="75" w:type="dxa"/>
              <w:right w:w="105" w:type="dxa"/>
            </w:tcMar>
          </w:tcPr>
          <w:p w14:paraId="535E9F52" w14:textId="77777777" w:rsidR="00CC3B7D" w:rsidRDefault="007B010E">
            <w:r>
              <w:rPr>
                <w:rFonts w:ascii="Calibri" w:eastAsia="Calibri" w:hAnsi="Calibri" w:cs="Calibri"/>
                <w:color w:val="000000"/>
                <w:sz w:val="20"/>
                <w:szCs w:val="20"/>
              </w:rPr>
              <w:t>0.78</w:t>
            </w:r>
          </w:p>
        </w:tc>
        <w:tc>
          <w:tcPr>
            <w:tcW w:w="1700" w:type="pct"/>
            <w:shd w:val="clear" w:color="auto" w:fill="FFFFFF"/>
            <w:tcMar>
              <w:top w:w="75" w:type="dxa"/>
              <w:left w:w="105" w:type="dxa"/>
              <w:bottom w:w="75" w:type="dxa"/>
              <w:right w:w="105" w:type="dxa"/>
            </w:tcMar>
          </w:tcPr>
          <w:p w14:paraId="535E9F53" w14:textId="77777777" w:rsidR="00CC3B7D" w:rsidRDefault="007B010E">
            <w:r>
              <w:rPr>
                <w:rFonts w:ascii="Calibri" w:eastAsia="Calibri" w:hAnsi="Calibri" w:cs="Calibri"/>
                <w:color w:val="000000"/>
                <w:sz w:val="20"/>
                <w:szCs w:val="20"/>
              </w:rPr>
              <w:t>Historical ASPM utilization</w:t>
            </w:r>
          </w:p>
        </w:tc>
      </w:tr>
      <w:tr w:rsidR="00CC3B7D" w14:paraId="535E9F58" w14:textId="77777777">
        <w:tblPrEx>
          <w:tblCellMar>
            <w:top w:w="0" w:type="dxa"/>
            <w:bottom w:w="0" w:type="dxa"/>
          </w:tblCellMar>
        </w:tblPrEx>
        <w:tc>
          <w:tcPr>
            <w:tcW w:w="1650" w:type="pct"/>
            <w:shd w:val="clear" w:color="auto" w:fill="FFFFFF"/>
            <w:tcMar>
              <w:top w:w="75" w:type="dxa"/>
              <w:left w:w="105" w:type="dxa"/>
              <w:bottom w:w="75" w:type="dxa"/>
              <w:right w:w="105" w:type="dxa"/>
            </w:tcMar>
          </w:tcPr>
          <w:p w14:paraId="535E9F55" w14:textId="77777777" w:rsidR="00CC3B7D" w:rsidRDefault="007B010E">
            <w:r>
              <w:rPr>
                <w:rFonts w:ascii="Calibri" w:eastAsia="Calibri" w:hAnsi="Calibri" w:cs="Calibri"/>
                <w:color w:val="000000"/>
                <w:sz w:val="20"/>
                <w:szCs w:val="20"/>
              </w:rPr>
              <w:t>Seasonal Adjustment Factor</w:t>
            </w:r>
          </w:p>
        </w:tc>
        <w:tc>
          <w:tcPr>
            <w:tcW w:w="1650" w:type="pct"/>
            <w:shd w:val="clear" w:color="auto" w:fill="FFFFFF"/>
            <w:tcMar>
              <w:top w:w="75" w:type="dxa"/>
              <w:left w:w="105" w:type="dxa"/>
              <w:bottom w:w="75" w:type="dxa"/>
              <w:right w:w="105" w:type="dxa"/>
            </w:tcMar>
          </w:tcPr>
          <w:p w14:paraId="535E9F56" w14:textId="77777777" w:rsidR="00CC3B7D" w:rsidRDefault="007B010E">
            <w:r>
              <w:rPr>
                <w:rFonts w:ascii="Calibri" w:eastAsia="Calibri" w:hAnsi="Calibri" w:cs="Calibri"/>
                <w:color w:val="000000"/>
                <w:sz w:val="20"/>
                <w:szCs w:val="20"/>
              </w:rPr>
              <w:t>0.97</w:t>
            </w:r>
          </w:p>
        </w:tc>
        <w:tc>
          <w:tcPr>
            <w:tcW w:w="1700" w:type="pct"/>
            <w:shd w:val="clear" w:color="auto" w:fill="FFFFFF"/>
            <w:tcMar>
              <w:top w:w="75" w:type="dxa"/>
              <w:left w:w="105" w:type="dxa"/>
              <w:bottom w:w="75" w:type="dxa"/>
              <w:right w:w="105" w:type="dxa"/>
            </w:tcMar>
          </w:tcPr>
          <w:p w14:paraId="535E9F57" w14:textId="77777777" w:rsidR="00CC3B7D" w:rsidRDefault="007B010E">
            <w:r>
              <w:rPr>
                <w:rFonts w:ascii="Calibri" w:eastAsia="Calibri" w:hAnsi="Calibri" w:cs="Calibri"/>
                <w:color w:val="000000"/>
                <w:sz w:val="20"/>
                <w:szCs w:val="20"/>
              </w:rPr>
              <w:t>Summer demand concentration</w:t>
            </w:r>
          </w:p>
        </w:tc>
      </w:tr>
      <w:tr w:rsidR="00CC3B7D" w14:paraId="535E9F5C" w14:textId="77777777">
        <w:tblPrEx>
          <w:tblCellMar>
            <w:top w:w="0" w:type="dxa"/>
            <w:bottom w:w="0" w:type="dxa"/>
          </w:tblCellMar>
        </w:tblPrEx>
        <w:tc>
          <w:tcPr>
            <w:tcW w:w="1650" w:type="pct"/>
            <w:shd w:val="clear" w:color="auto" w:fill="FFFFFF"/>
            <w:tcMar>
              <w:top w:w="75" w:type="dxa"/>
              <w:left w:w="105" w:type="dxa"/>
              <w:bottom w:w="75" w:type="dxa"/>
              <w:right w:w="105" w:type="dxa"/>
            </w:tcMar>
          </w:tcPr>
          <w:p w14:paraId="535E9F59" w14:textId="77777777" w:rsidR="00CC3B7D" w:rsidRDefault="007B010E">
            <w:r>
              <w:rPr>
                <w:rFonts w:ascii="Calibri" w:eastAsia="Calibri" w:hAnsi="Calibri" w:cs="Calibri"/>
                <w:color w:val="000000"/>
                <w:sz w:val="20"/>
                <w:szCs w:val="20"/>
              </w:rPr>
              <w:t>Annual Operating Days</w:t>
            </w:r>
          </w:p>
        </w:tc>
        <w:tc>
          <w:tcPr>
            <w:tcW w:w="1650" w:type="pct"/>
            <w:shd w:val="clear" w:color="auto" w:fill="FFFFFF"/>
            <w:tcMar>
              <w:top w:w="75" w:type="dxa"/>
              <w:left w:w="105" w:type="dxa"/>
              <w:bottom w:w="75" w:type="dxa"/>
              <w:right w:w="105" w:type="dxa"/>
            </w:tcMar>
          </w:tcPr>
          <w:p w14:paraId="535E9F5A" w14:textId="77777777" w:rsidR="00CC3B7D" w:rsidRDefault="007B010E">
            <w:r>
              <w:rPr>
                <w:rFonts w:ascii="Calibri" w:eastAsia="Calibri" w:hAnsi="Calibri" w:cs="Calibri"/>
                <w:color w:val="000000"/>
                <w:sz w:val="20"/>
                <w:szCs w:val="20"/>
              </w:rPr>
              <w:t>365</w:t>
            </w:r>
          </w:p>
        </w:tc>
        <w:tc>
          <w:tcPr>
            <w:tcW w:w="1700" w:type="pct"/>
            <w:shd w:val="clear" w:color="auto" w:fill="FFFFFF"/>
            <w:tcMar>
              <w:top w:w="75" w:type="dxa"/>
              <w:left w:w="105" w:type="dxa"/>
              <w:bottom w:w="75" w:type="dxa"/>
              <w:right w:w="105" w:type="dxa"/>
            </w:tcMar>
          </w:tcPr>
          <w:p w14:paraId="535E9F5B" w14:textId="77777777" w:rsidR="00CC3B7D" w:rsidRDefault="007B010E">
            <w:r>
              <w:rPr>
                <w:rFonts w:ascii="Calibri" w:eastAsia="Calibri" w:hAnsi="Calibri" w:cs="Calibri"/>
                <w:color w:val="000000"/>
                <w:sz w:val="20"/>
                <w:szCs w:val="20"/>
              </w:rPr>
              <w:t>Full-year planning basis</w:t>
            </w:r>
          </w:p>
        </w:tc>
      </w:tr>
      <w:tr w:rsidR="00CC3B7D" w14:paraId="535E9F60" w14:textId="77777777">
        <w:tblPrEx>
          <w:tblCellMar>
            <w:top w:w="0" w:type="dxa"/>
            <w:bottom w:w="0" w:type="dxa"/>
          </w:tblCellMar>
        </w:tblPrEx>
        <w:tc>
          <w:tcPr>
            <w:tcW w:w="1650" w:type="pct"/>
            <w:shd w:val="clear" w:color="auto" w:fill="FFFFFF"/>
            <w:tcMar>
              <w:top w:w="75" w:type="dxa"/>
              <w:left w:w="105" w:type="dxa"/>
              <w:bottom w:w="75" w:type="dxa"/>
              <w:right w:w="105" w:type="dxa"/>
            </w:tcMar>
          </w:tcPr>
          <w:p w14:paraId="535E9F5D" w14:textId="77777777" w:rsidR="00CC3B7D" w:rsidRDefault="007B010E">
            <w:r>
              <w:rPr>
                <w:rFonts w:ascii="Calibri" w:eastAsia="Calibri" w:hAnsi="Calibri" w:cs="Calibri"/>
                <w:b/>
                <w:bCs/>
                <w:color w:val="000000"/>
                <w:sz w:val="22"/>
                <w:szCs w:val="22"/>
              </w:rPr>
              <w:t>Calculated Annual Capacity (ops)</w:t>
            </w:r>
          </w:p>
        </w:tc>
        <w:tc>
          <w:tcPr>
            <w:tcW w:w="1650" w:type="pct"/>
            <w:shd w:val="clear" w:color="auto" w:fill="FFFFFF"/>
            <w:tcMar>
              <w:top w:w="75" w:type="dxa"/>
              <w:left w:w="105" w:type="dxa"/>
              <w:bottom w:w="75" w:type="dxa"/>
              <w:right w:w="105" w:type="dxa"/>
            </w:tcMar>
          </w:tcPr>
          <w:p w14:paraId="535E9F5E" w14:textId="77777777" w:rsidR="00CC3B7D" w:rsidRDefault="007B010E">
            <w:r>
              <w:rPr>
                <w:rFonts w:ascii="Calibri" w:eastAsia="Calibri" w:hAnsi="Calibri" w:cs="Calibri"/>
                <w:b/>
                <w:bCs/>
                <w:color w:val="000000"/>
                <w:sz w:val="22"/>
                <w:szCs w:val="22"/>
              </w:rPr>
              <w:t>~633,000</w:t>
            </w:r>
          </w:p>
        </w:tc>
        <w:tc>
          <w:tcPr>
            <w:tcW w:w="1700" w:type="pct"/>
            <w:shd w:val="clear" w:color="auto" w:fill="FFFFFF"/>
            <w:tcMar>
              <w:top w:w="75" w:type="dxa"/>
              <w:left w:w="105" w:type="dxa"/>
              <w:bottom w:w="75" w:type="dxa"/>
              <w:right w:w="105" w:type="dxa"/>
            </w:tcMar>
          </w:tcPr>
          <w:p w14:paraId="535E9F5F" w14:textId="77777777" w:rsidR="00CC3B7D" w:rsidRDefault="007B010E">
            <w:r>
              <w:rPr>
                <w:rFonts w:ascii="Calibri" w:eastAsia="Calibri" w:hAnsi="Calibri" w:cs="Calibri"/>
                <w:color w:val="000000"/>
                <w:sz w:val="20"/>
                <w:szCs w:val="20"/>
              </w:rPr>
              <w:t>Unconstrained theoretical maximum</w:t>
            </w:r>
          </w:p>
        </w:tc>
      </w:tr>
    </w:tbl>
    <w:p w14:paraId="535E9F61" w14:textId="77777777" w:rsidR="00CC3B7D" w:rsidRDefault="00CC3B7D">
      <w:pPr>
        <w:spacing w:after="200"/>
      </w:pPr>
    </w:p>
    <w:p w14:paraId="535E9F62" w14:textId="77777777" w:rsidR="00CC3B7D" w:rsidRDefault="007B010E">
      <w:pPr>
        <w:spacing w:before="60" w:after="120" w:line="360" w:lineRule="auto"/>
      </w:pPr>
      <w:r>
        <w:rPr>
          <w:rFonts w:ascii="Calibri" w:eastAsia="Calibri" w:hAnsi="Calibri" w:cs="Calibri"/>
          <w:color w:val="000000"/>
          <w:sz w:val="22"/>
          <w:szCs w:val="22"/>
        </w:rPr>
        <w:t>Actual annual operations reflect demand-side constraints as well as infrastructure capacity. The 2024 actual operations at SEA were approximately 460,000–480,000 annual operations (BTS T-100, 2024), indicating meaningful headroom relative to the ~633,000 theoretical maximum throughput. This gap between current demand and theoretical ceiling does not suggest that the airport is unconstrained; rather, it reflects that demand has not yet saturated infrastructure capacity uniformly across all operating hours an</w:t>
      </w:r>
      <w:r>
        <w:rPr>
          <w:rFonts w:ascii="Calibri" w:eastAsia="Calibri" w:hAnsi="Calibri" w:cs="Calibri"/>
          <w:color w:val="000000"/>
          <w:sz w:val="22"/>
          <w:szCs w:val="22"/>
        </w:rPr>
        <w:t>d conditions. The constrained scenario projections in Section 8 account for the non-linear nature of this saturation.</w:t>
      </w:r>
    </w:p>
    <w:p w14:paraId="535E9F63" w14:textId="77777777" w:rsidR="00CC3B7D" w:rsidRDefault="007B010E">
      <w:pPr>
        <w:pStyle w:val="Heading1"/>
        <w:spacing w:before="360" w:after="80" w:line="312" w:lineRule="auto"/>
      </w:pPr>
      <w:r>
        <w:rPr>
          <w:rFonts w:ascii="Calibri" w:eastAsia="Calibri" w:hAnsi="Calibri" w:cs="Calibri"/>
          <w:color w:val="1A1A1A"/>
          <w:sz w:val="40"/>
          <w:szCs w:val="40"/>
        </w:rPr>
        <w:t>Section 7 – Scenario Definitions</w:t>
      </w:r>
    </w:p>
    <w:p w14:paraId="535E9F64" w14:textId="77777777" w:rsidR="00CC3B7D" w:rsidRDefault="007B010E">
      <w:pPr>
        <w:spacing w:before="60" w:after="120" w:line="360" w:lineRule="auto"/>
      </w:pPr>
      <w:r>
        <w:rPr>
          <w:rFonts w:ascii="Calibri" w:eastAsia="Calibri" w:hAnsi="Calibri" w:cs="Calibri"/>
          <w:color w:val="000000"/>
          <w:sz w:val="22"/>
          <w:szCs w:val="22"/>
        </w:rPr>
        <w:t>Two primary planning scenarios are used across the white paper series: Constrained and Unconstrained. A third Moderate Growth scenario is included as a planning midpoint to represent a realistic near-term trajectory. Table 7-1 defines each scenario and its governing assumptions. Sensitivity analysis around growth rate assumptions is addressed separately in the main white paper body.</w:t>
      </w:r>
    </w:p>
    <w:p w14:paraId="535E9F65" w14:textId="77777777" w:rsidR="00CC3B7D" w:rsidRDefault="007B010E">
      <w:pPr>
        <w:spacing w:after="60" w:line="360" w:lineRule="auto"/>
      </w:pPr>
      <w:r>
        <w:rPr>
          <w:rFonts w:ascii="Calibri" w:eastAsia="Calibri" w:hAnsi="Calibri" w:cs="Calibri"/>
          <w:b/>
          <w:bCs/>
          <w:color w:val="1E3A6E"/>
          <w:sz w:val="20"/>
          <w:szCs w:val="20"/>
        </w:rPr>
        <w:t>Table 7-1: Scenario Definitions</w:t>
      </w:r>
    </w:p>
    <w:p w14:paraId="535E9F66"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3085"/>
        <w:gridCol w:w="3086"/>
        <w:gridCol w:w="3179"/>
      </w:tblGrid>
      <w:tr w:rsidR="00CC3B7D" w14:paraId="535E9F6A" w14:textId="77777777">
        <w:tblPrEx>
          <w:tblCellMar>
            <w:top w:w="0" w:type="dxa"/>
            <w:bottom w:w="0" w:type="dxa"/>
          </w:tblCellMar>
        </w:tblPrEx>
        <w:trPr>
          <w:tblHeader/>
        </w:trPr>
        <w:tc>
          <w:tcPr>
            <w:tcW w:w="1650" w:type="pct"/>
            <w:shd w:val="clear" w:color="auto" w:fill="CCD9EA"/>
            <w:tcMar>
              <w:top w:w="75" w:type="dxa"/>
              <w:left w:w="105" w:type="dxa"/>
              <w:bottom w:w="75" w:type="dxa"/>
              <w:right w:w="105" w:type="dxa"/>
            </w:tcMar>
          </w:tcPr>
          <w:p w14:paraId="535E9F67" w14:textId="77777777" w:rsidR="00CC3B7D" w:rsidRDefault="007B010E">
            <w:r>
              <w:rPr>
                <w:rFonts w:ascii="Calibri" w:eastAsia="Calibri" w:hAnsi="Calibri" w:cs="Calibri"/>
                <w:b/>
                <w:bCs/>
                <w:color w:val="0D2240"/>
                <w:sz w:val="20"/>
                <w:szCs w:val="20"/>
              </w:rPr>
              <w:t>Scenario</w:t>
            </w:r>
          </w:p>
        </w:tc>
        <w:tc>
          <w:tcPr>
            <w:tcW w:w="1650" w:type="pct"/>
            <w:shd w:val="clear" w:color="auto" w:fill="CCD9EA"/>
            <w:tcMar>
              <w:top w:w="75" w:type="dxa"/>
              <w:left w:w="105" w:type="dxa"/>
              <w:bottom w:w="75" w:type="dxa"/>
              <w:right w:w="105" w:type="dxa"/>
            </w:tcMar>
          </w:tcPr>
          <w:p w14:paraId="535E9F68" w14:textId="77777777" w:rsidR="00CC3B7D" w:rsidRDefault="007B010E">
            <w:r>
              <w:rPr>
                <w:rFonts w:ascii="Calibri" w:eastAsia="Calibri" w:hAnsi="Calibri" w:cs="Calibri"/>
                <w:b/>
                <w:bCs/>
                <w:color w:val="0D2240"/>
                <w:sz w:val="20"/>
                <w:szCs w:val="20"/>
              </w:rPr>
              <w:t>Description</w:t>
            </w:r>
          </w:p>
        </w:tc>
        <w:tc>
          <w:tcPr>
            <w:tcW w:w="1700" w:type="pct"/>
            <w:shd w:val="clear" w:color="auto" w:fill="CCD9EA"/>
            <w:tcMar>
              <w:top w:w="75" w:type="dxa"/>
              <w:left w:w="105" w:type="dxa"/>
              <w:bottom w:w="75" w:type="dxa"/>
              <w:right w:w="105" w:type="dxa"/>
            </w:tcMar>
          </w:tcPr>
          <w:p w14:paraId="535E9F69" w14:textId="77777777" w:rsidR="00CC3B7D" w:rsidRDefault="007B010E">
            <w:r>
              <w:rPr>
                <w:rFonts w:ascii="Calibri" w:eastAsia="Calibri" w:hAnsi="Calibri" w:cs="Calibri"/>
                <w:b/>
                <w:bCs/>
                <w:color w:val="0D2240"/>
                <w:sz w:val="20"/>
                <w:szCs w:val="20"/>
              </w:rPr>
              <w:t>Key Assumption</w:t>
            </w:r>
          </w:p>
        </w:tc>
      </w:tr>
      <w:tr w:rsidR="00CC3B7D" w14:paraId="535E9F6E" w14:textId="77777777">
        <w:tblPrEx>
          <w:tblCellMar>
            <w:top w:w="0" w:type="dxa"/>
            <w:bottom w:w="0" w:type="dxa"/>
          </w:tblCellMar>
        </w:tblPrEx>
        <w:tc>
          <w:tcPr>
            <w:tcW w:w="1650" w:type="pct"/>
            <w:shd w:val="clear" w:color="auto" w:fill="FFFFFF"/>
            <w:tcMar>
              <w:top w:w="75" w:type="dxa"/>
              <w:left w:w="105" w:type="dxa"/>
              <w:bottom w:w="75" w:type="dxa"/>
              <w:right w:w="105" w:type="dxa"/>
            </w:tcMar>
          </w:tcPr>
          <w:p w14:paraId="535E9F6B" w14:textId="77777777" w:rsidR="00CC3B7D" w:rsidRDefault="007B010E">
            <w:r>
              <w:rPr>
                <w:rFonts w:ascii="Calibri" w:eastAsia="Calibri" w:hAnsi="Calibri" w:cs="Calibri"/>
                <w:b/>
                <w:bCs/>
                <w:color w:val="000000"/>
                <w:sz w:val="22"/>
                <w:szCs w:val="22"/>
              </w:rPr>
              <w:t>Unconstrained</w:t>
            </w:r>
          </w:p>
        </w:tc>
        <w:tc>
          <w:tcPr>
            <w:tcW w:w="1650" w:type="pct"/>
            <w:shd w:val="clear" w:color="auto" w:fill="FFFFFF"/>
            <w:tcMar>
              <w:top w:w="75" w:type="dxa"/>
              <w:left w:w="105" w:type="dxa"/>
              <w:bottom w:w="75" w:type="dxa"/>
              <w:right w:w="105" w:type="dxa"/>
            </w:tcMar>
          </w:tcPr>
          <w:p w14:paraId="535E9F6C" w14:textId="77777777" w:rsidR="00CC3B7D" w:rsidRDefault="007B010E">
            <w:r>
              <w:rPr>
                <w:rFonts w:ascii="Calibri" w:eastAsia="Calibri" w:hAnsi="Calibri" w:cs="Calibri"/>
                <w:color w:val="000000"/>
                <w:sz w:val="20"/>
                <w:szCs w:val="20"/>
              </w:rPr>
              <w:t>Demand grows at historic trend rates without infrastructure limits</w:t>
            </w:r>
          </w:p>
        </w:tc>
        <w:tc>
          <w:tcPr>
            <w:tcW w:w="1700" w:type="pct"/>
            <w:shd w:val="clear" w:color="auto" w:fill="FFFFFF"/>
            <w:tcMar>
              <w:top w:w="75" w:type="dxa"/>
              <w:left w:w="105" w:type="dxa"/>
              <w:bottom w:w="75" w:type="dxa"/>
              <w:right w:w="105" w:type="dxa"/>
            </w:tcMar>
          </w:tcPr>
          <w:p w14:paraId="535E9F6D" w14:textId="77777777" w:rsidR="00CC3B7D" w:rsidRDefault="007B010E">
            <w:r>
              <w:rPr>
                <w:rFonts w:ascii="Calibri" w:eastAsia="Calibri" w:hAnsi="Calibri" w:cs="Calibri"/>
                <w:color w:val="000000"/>
                <w:sz w:val="20"/>
                <w:szCs w:val="20"/>
              </w:rPr>
              <w:t>No new capacity constraints; full gate, apron, and runway access assumed available</w:t>
            </w:r>
          </w:p>
        </w:tc>
      </w:tr>
      <w:tr w:rsidR="00CC3B7D" w14:paraId="535E9F72" w14:textId="77777777">
        <w:tblPrEx>
          <w:tblCellMar>
            <w:top w:w="0" w:type="dxa"/>
            <w:bottom w:w="0" w:type="dxa"/>
          </w:tblCellMar>
        </w:tblPrEx>
        <w:tc>
          <w:tcPr>
            <w:tcW w:w="1650" w:type="pct"/>
            <w:shd w:val="clear" w:color="auto" w:fill="FFFFFF"/>
            <w:tcMar>
              <w:top w:w="75" w:type="dxa"/>
              <w:left w:w="105" w:type="dxa"/>
              <w:bottom w:w="75" w:type="dxa"/>
              <w:right w:w="105" w:type="dxa"/>
            </w:tcMar>
          </w:tcPr>
          <w:p w14:paraId="535E9F6F" w14:textId="77777777" w:rsidR="00CC3B7D" w:rsidRDefault="007B010E">
            <w:r>
              <w:rPr>
                <w:rFonts w:ascii="Calibri" w:eastAsia="Calibri" w:hAnsi="Calibri" w:cs="Calibri"/>
                <w:b/>
                <w:bCs/>
                <w:color w:val="000000"/>
                <w:sz w:val="22"/>
                <w:szCs w:val="22"/>
              </w:rPr>
              <w:t>Constrained</w:t>
            </w:r>
          </w:p>
        </w:tc>
        <w:tc>
          <w:tcPr>
            <w:tcW w:w="1650" w:type="pct"/>
            <w:shd w:val="clear" w:color="auto" w:fill="FFFFFF"/>
            <w:tcMar>
              <w:top w:w="75" w:type="dxa"/>
              <w:left w:w="105" w:type="dxa"/>
              <w:bottom w:w="75" w:type="dxa"/>
              <w:right w:w="105" w:type="dxa"/>
            </w:tcMar>
          </w:tcPr>
          <w:p w14:paraId="535E9F70" w14:textId="77777777" w:rsidR="00CC3B7D" w:rsidRDefault="007B010E">
            <w:r>
              <w:rPr>
                <w:rFonts w:ascii="Calibri" w:eastAsia="Calibri" w:hAnsi="Calibri" w:cs="Calibri"/>
                <w:color w:val="000000"/>
                <w:sz w:val="20"/>
                <w:szCs w:val="20"/>
              </w:rPr>
              <w:t>Operations capped at current infrastructure limits</w:t>
            </w:r>
          </w:p>
        </w:tc>
        <w:tc>
          <w:tcPr>
            <w:tcW w:w="1700" w:type="pct"/>
            <w:shd w:val="clear" w:color="auto" w:fill="FFFFFF"/>
            <w:tcMar>
              <w:top w:w="75" w:type="dxa"/>
              <w:left w:w="105" w:type="dxa"/>
              <w:bottom w:w="75" w:type="dxa"/>
              <w:right w:w="105" w:type="dxa"/>
            </w:tcMar>
          </w:tcPr>
          <w:p w14:paraId="535E9F71" w14:textId="77777777" w:rsidR="00CC3B7D" w:rsidRDefault="007B010E">
            <w:r>
              <w:rPr>
                <w:rFonts w:ascii="Calibri" w:eastAsia="Calibri" w:hAnsi="Calibri" w:cs="Calibri"/>
                <w:color w:val="000000"/>
                <w:sz w:val="20"/>
                <w:szCs w:val="20"/>
              </w:rPr>
              <w:t>No third-party gate expansion; no new runways within the projection period</w:t>
            </w:r>
          </w:p>
        </w:tc>
      </w:tr>
      <w:tr w:rsidR="00CC3B7D" w14:paraId="535E9F76" w14:textId="77777777">
        <w:tblPrEx>
          <w:tblCellMar>
            <w:top w:w="0" w:type="dxa"/>
            <w:bottom w:w="0" w:type="dxa"/>
          </w:tblCellMar>
        </w:tblPrEx>
        <w:tc>
          <w:tcPr>
            <w:tcW w:w="1650" w:type="pct"/>
            <w:shd w:val="clear" w:color="auto" w:fill="FFFFFF"/>
            <w:tcMar>
              <w:top w:w="75" w:type="dxa"/>
              <w:left w:w="105" w:type="dxa"/>
              <w:bottom w:w="75" w:type="dxa"/>
              <w:right w:w="105" w:type="dxa"/>
            </w:tcMar>
          </w:tcPr>
          <w:p w14:paraId="535E9F73" w14:textId="77777777" w:rsidR="00CC3B7D" w:rsidRDefault="007B010E">
            <w:r>
              <w:rPr>
                <w:rFonts w:ascii="Calibri" w:eastAsia="Calibri" w:hAnsi="Calibri" w:cs="Calibri"/>
                <w:b/>
                <w:bCs/>
                <w:color w:val="000000"/>
                <w:sz w:val="22"/>
                <w:szCs w:val="22"/>
              </w:rPr>
              <w:t>Moderate Growth</w:t>
            </w:r>
          </w:p>
        </w:tc>
        <w:tc>
          <w:tcPr>
            <w:tcW w:w="1650" w:type="pct"/>
            <w:shd w:val="clear" w:color="auto" w:fill="FFFFFF"/>
            <w:tcMar>
              <w:top w:w="75" w:type="dxa"/>
              <w:left w:w="105" w:type="dxa"/>
              <w:bottom w:w="75" w:type="dxa"/>
              <w:right w:w="105" w:type="dxa"/>
            </w:tcMar>
          </w:tcPr>
          <w:p w14:paraId="535E9F74" w14:textId="77777777" w:rsidR="00CC3B7D" w:rsidRDefault="007B010E">
            <w:r>
              <w:rPr>
                <w:rFonts w:ascii="Calibri" w:eastAsia="Calibri" w:hAnsi="Calibri" w:cs="Calibri"/>
                <w:color w:val="000000"/>
                <w:sz w:val="20"/>
                <w:szCs w:val="20"/>
              </w:rPr>
              <w:t>Demand growth moderated by market and operational factors</w:t>
            </w:r>
          </w:p>
        </w:tc>
        <w:tc>
          <w:tcPr>
            <w:tcW w:w="1700" w:type="pct"/>
            <w:shd w:val="clear" w:color="auto" w:fill="FFFFFF"/>
            <w:tcMar>
              <w:top w:w="75" w:type="dxa"/>
              <w:left w:w="105" w:type="dxa"/>
              <w:bottom w:w="75" w:type="dxa"/>
              <w:right w:w="105" w:type="dxa"/>
            </w:tcMar>
          </w:tcPr>
          <w:p w14:paraId="535E9F75" w14:textId="77777777" w:rsidR="00CC3B7D" w:rsidRDefault="007B010E">
            <w:r>
              <w:rPr>
                <w:rFonts w:ascii="Calibri" w:eastAsia="Calibri" w:hAnsi="Calibri" w:cs="Calibri"/>
                <w:color w:val="000000"/>
                <w:sz w:val="20"/>
                <w:szCs w:val="20"/>
              </w:rPr>
              <w:t>Partial infrastructure improvements; current TBFM and Reduced Diagonal Spacing gains only; no TSAS deployment assumed</w:t>
            </w:r>
          </w:p>
        </w:tc>
      </w:tr>
    </w:tbl>
    <w:p w14:paraId="535E9F77" w14:textId="77777777" w:rsidR="00CC3B7D" w:rsidRDefault="00CC3B7D">
      <w:pPr>
        <w:spacing w:after="200"/>
      </w:pPr>
    </w:p>
    <w:p w14:paraId="535E9F78" w14:textId="77777777" w:rsidR="00CC3B7D" w:rsidRDefault="007B010E">
      <w:pPr>
        <w:pStyle w:val="Heading1"/>
        <w:spacing w:before="360" w:after="80" w:line="312" w:lineRule="auto"/>
      </w:pPr>
      <w:r>
        <w:rPr>
          <w:rFonts w:ascii="Calibri" w:eastAsia="Calibri" w:hAnsi="Calibri" w:cs="Calibri"/>
          <w:color w:val="1A1A1A"/>
          <w:sz w:val="40"/>
          <w:szCs w:val="40"/>
        </w:rPr>
        <w:lastRenderedPageBreak/>
        <w:t>Section 8 – Constrained vs. Unconstrained Projections through 2037</w:t>
      </w:r>
    </w:p>
    <w:p w14:paraId="535E9F79" w14:textId="77777777" w:rsidR="00CC3B7D" w:rsidRDefault="007B010E">
      <w:pPr>
        <w:spacing w:before="60" w:after="120" w:line="360" w:lineRule="auto"/>
      </w:pPr>
      <w:r>
        <w:rPr>
          <w:rFonts w:ascii="Calibri" w:eastAsia="Calibri" w:hAnsi="Calibri" w:cs="Calibri"/>
          <w:color w:val="000000"/>
          <w:sz w:val="22"/>
          <w:szCs w:val="22"/>
        </w:rPr>
        <w:t>Projections use 2024 as the base year. FAA Terminal Area Forecast (TAF) growth rates — drawn from the FAA TAF 2024 edition — are applied to the unconstrained scenario to model demand under a continued historical growth trajectory. The constrained scenario holds infrastructure at the current configuration and applies a capacity ceiling consistent with the parameters defined in Section 6.</w:t>
      </w:r>
    </w:p>
    <w:p w14:paraId="535E9F7A" w14:textId="77777777" w:rsidR="00CC3B7D" w:rsidRDefault="007B010E">
      <w:pPr>
        <w:spacing w:after="60" w:line="360" w:lineRule="auto"/>
      </w:pPr>
      <w:r>
        <w:rPr>
          <w:rFonts w:ascii="Calibri" w:eastAsia="Calibri" w:hAnsi="Calibri" w:cs="Calibri"/>
          <w:b/>
          <w:bCs/>
          <w:color w:val="1E3A6E"/>
          <w:sz w:val="20"/>
          <w:szCs w:val="20"/>
        </w:rPr>
        <w:t>Table 8-1: SEA Annual Operations Projections 2024–2037</w:t>
      </w:r>
    </w:p>
    <w:p w14:paraId="535E9F7B"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870"/>
        <w:gridCol w:w="1870"/>
        <w:gridCol w:w="1870"/>
        <w:gridCol w:w="1870"/>
        <w:gridCol w:w="1870"/>
      </w:tblGrid>
      <w:tr w:rsidR="00CC3B7D" w14:paraId="535E9F81" w14:textId="77777777">
        <w:tblPrEx>
          <w:tblCellMar>
            <w:top w:w="0" w:type="dxa"/>
            <w:bottom w:w="0" w:type="dxa"/>
          </w:tblCellMar>
        </w:tblPrEx>
        <w:trPr>
          <w:tblHeader/>
        </w:trPr>
        <w:tc>
          <w:tcPr>
            <w:tcW w:w="1000" w:type="pct"/>
            <w:shd w:val="clear" w:color="auto" w:fill="CCD9EA"/>
            <w:tcMar>
              <w:top w:w="75" w:type="dxa"/>
              <w:left w:w="105" w:type="dxa"/>
              <w:bottom w:w="75" w:type="dxa"/>
              <w:right w:w="105" w:type="dxa"/>
            </w:tcMar>
          </w:tcPr>
          <w:p w14:paraId="535E9F7C" w14:textId="77777777" w:rsidR="00CC3B7D" w:rsidRDefault="007B010E">
            <w:r>
              <w:rPr>
                <w:rFonts w:ascii="Calibri" w:eastAsia="Calibri" w:hAnsi="Calibri" w:cs="Calibri"/>
                <w:b/>
                <w:bCs/>
                <w:color w:val="0D2240"/>
                <w:sz w:val="20"/>
                <w:szCs w:val="20"/>
              </w:rPr>
              <w:t>Year</w:t>
            </w:r>
          </w:p>
        </w:tc>
        <w:tc>
          <w:tcPr>
            <w:tcW w:w="1000" w:type="pct"/>
            <w:shd w:val="clear" w:color="auto" w:fill="CCD9EA"/>
            <w:tcMar>
              <w:top w:w="75" w:type="dxa"/>
              <w:left w:w="105" w:type="dxa"/>
              <w:bottom w:w="75" w:type="dxa"/>
              <w:right w:w="105" w:type="dxa"/>
            </w:tcMar>
          </w:tcPr>
          <w:p w14:paraId="535E9F7D" w14:textId="77777777" w:rsidR="00CC3B7D" w:rsidRDefault="007B010E">
            <w:r>
              <w:rPr>
                <w:rFonts w:ascii="Calibri" w:eastAsia="Calibri" w:hAnsi="Calibri" w:cs="Calibri"/>
                <w:b/>
                <w:bCs/>
                <w:color w:val="0D2240"/>
                <w:sz w:val="20"/>
                <w:szCs w:val="20"/>
              </w:rPr>
              <w:t>Unconstrained (ops)</w:t>
            </w:r>
          </w:p>
        </w:tc>
        <w:tc>
          <w:tcPr>
            <w:tcW w:w="1000" w:type="pct"/>
            <w:shd w:val="clear" w:color="auto" w:fill="CCD9EA"/>
            <w:tcMar>
              <w:top w:w="75" w:type="dxa"/>
              <w:left w:w="105" w:type="dxa"/>
              <w:bottom w:w="75" w:type="dxa"/>
              <w:right w:w="105" w:type="dxa"/>
            </w:tcMar>
          </w:tcPr>
          <w:p w14:paraId="535E9F7E" w14:textId="77777777" w:rsidR="00CC3B7D" w:rsidRDefault="007B010E">
            <w:r>
              <w:rPr>
                <w:rFonts w:ascii="Calibri" w:eastAsia="Calibri" w:hAnsi="Calibri" w:cs="Calibri"/>
                <w:b/>
                <w:bCs/>
                <w:color w:val="0D2240"/>
                <w:sz w:val="20"/>
                <w:szCs w:val="20"/>
              </w:rPr>
              <w:t>Constrained (ops)</w:t>
            </w:r>
          </w:p>
        </w:tc>
        <w:tc>
          <w:tcPr>
            <w:tcW w:w="1000" w:type="pct"/>
            <w:shd w:val="clear" w:color="auto" w:fill="CCD9EA"/>
            <w:tcMar>
              <w:top w:w="75" w:type="dxa"/>
              <w:left w:w="105" w:type="dxa"/>
              <w:bottom w:w="75" w:type="dxa"/>
              <w:right w:w="105" w:type="dxa"/>
            </w:tcMar>
          </w:tcPr>
          <w:p w14:paraId="535E9F7F" w14:textId="77777777" w:rsidR="00CC3B7D" w:rsidRDefault="007B010E">
            <w:r>
              <w:rPr>
                <w:rFonts w:ascii="Calibri" w:eastAsia="Calibri" w:hAnsi="Calibri" w:cs="Calibri"/>
                <w:b/>
                <w:bCs/>
                <w:color w:val="0D2240"/>
                <w:sz w:val="20"/>
                <w:szCs w:val="20"/>
              </w:rPr>
              <w:t>Difference (ops)</w:t>
            </w:r>
          </w:p>
        </w:tc>
        <w:tc>
          <w:tcPr>
            <w:tcW w:w="1000" w:type="pct"/>
            <w:shd w:val="clear" w:color="auto" w:fill="CCD9EA"/>
            <w:tcMar>
              <w:top w:w="75" w:type="dxa"/>
              <w:left w:w="105" w:type="dxa"/>
              <w:bottom w:w="75" w:type="dxa"/>
              <w:right w:w="105" w:type="dxa"/>
            </w:tcMar>
          </w:tcPr>
          <w:p w14:paraId="535E9F80" w14:textId="77777777" w:rsidR="00CC3B7D" w:rsidRDefault="007B010E">
            <w:r>
              <w:rPr>
                <w:rFonts w:ascii="Calibri" w:eastAsia="Calibri" w:hAnsi="Calibri" w:cs="Calibri"/>
                <w:b/>
                <w:bCs/>
                <w:color w:val="0D2240"/>
                <w:sz w:val="20"/>
                <w:szCs w:val="20"/>
              </w:rPr>
              <w:t>Notes</w:t>
            </w:r>
          </w:p>
        </w:tc>
      </w:tr>
      <w:tr w:rsidR="00CC3B7D" w14:paraId="535E9F87"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82" w14:textId="77777777" w:rsidR="00CC3B7D" w:rsidRDefault="007B010E">
            <w:r>
              <w:rPr>
                <w:rFonts w:ascii="Calibri" w:eastAsia="Calibri" w:hAnsi="Calibri" w:cs="Calibri"/>
                <w:b/>
                <w:bCs/>
                <w:color w:val="000000"/>
                <w:sz w:val="22"/>
                <w:szCs w:val="22"/>
              </w:rPr>
              <w:t>2024</w:t>
            </w:r>
          </w:p>
        </w:tc>
        <w:tc>
          <w:tcPr>
            <w:tcW w:w="1000" w:type="pct"/>
            <w:shd w:val="clear" w:color="auto" w:fill="FFFFFF"/>
            <w:tcMar>
              <w:top w:w="75" w:type="dxa"/>
              <w:left w:w="105" w:type="dxa"/>
              <w:bottom w:w="75" w:type="dxa"/>
              <w:right w:w="105" w:type="dxa"/>
            </w:tcMar>
          </w:tcPr>
          <w:p w14:paraId="535E9F83" w14:textId="77777777" w:rsidR="00CC3B7D" w:rsidRDefault="007B010E">
            <w:r>
              <w:rPr>
                <w:rFonts w:ascii="Calibri" w:eastAsia="Calibri" w:hAnsi="Calibri" w:cs="Calibri"/>
                <w:color w:val="000000"/>
                <w:sz w:val="20"/>
                <w:szCs w:val="20"/>
              </w:rPr>
              <w:t>475,000</w:t>
            </w:r>
          </w:p>
        </w:tc>
        <w:tc>
          <w:tcPr>
            <w:tcW w:w="1000" w:type="pct"/>
            <w:shd w:val="clear" w:color="auto" w:fill="FFFFFF"/>
            <w:tcMar>
              <w:top w:w="75" w:type="dxa"/>
              <w:left w:w="105" w:type="dxa"/>
              <w:bottom w:w="75" w:type="dxa"/>
              <w:right w:w="105" w:type="dxa"/>
            </w:tcMar>
          </w:tcPr>
          <w:p w14:paraId="535E9F84" w14:textId="77777777" w:rsidR="00CC3B7D" w:rsidRDefault="007B010E">
            <w:r>
              <w:rPr>
                <w:rFonts w:ascii="Calibri" w:eastAsia="Calibri" w:hAnsi="Calibri" w:cs="Calibri"/>
                <w:color w:val="000000"/>
                <w:sz w:val="20"/>
                <w:szCs w:val="20"/>
              </w:rPr>
              <w:t>475,000</w:t>
            </w:r>
          </w:p>
        </w:tc>
        <w:tc>
          <w:tcPr>
            <w:tcW w:w="1000" w:type="pct"/>
            <w:shd w:val="clear" w:color="auto" w:fill="FFFFFF"/>
            <w:tcMar>
              <w:top w:w="75" w:type="dxa"/>
              <w:left w:w="105" w:type="dxa"/>
              <w:bottom w:w="75" w:type="dxa"/>
              <w:right w:w="105" w:type="dxa"/>
            </w:tcMar>
          </w:tcPr>
          <w:p w14:paraId="535E9F85" w14:textId="77777777" w:rsidR="00CC3B7D" w:rsidRDefault="007B010E">
            <w:r>
              <w:rPr>
                <w:rFonts w:ascii="Calibri" w:eastAsia="Calibri" w:hAnsi="Calibri" w:cs="Calibri"/>
                <w:color w:val="000000"/>
                <w:sz w:val="20"/>
                <w:szCs w:val="20"/>
              </w:rPr>
              <w:t>0</w:t>
            </w:r>
          </w:p>
        </w:tc>
        <w:tc>
          <w:tcPr>
            <w:tcW w:w="1000" w:type="pct"/>
            <w:shd w:val="clear" w:color="auto" w:fill="FFFFFF"/>
            <w:tcMar>
              <w:top w:w="75" w:type="dxa"/>
              <w:left w:w="105" w:type="dxa"/>
              <w:bottom w:w="75" w:type="dxa"/>
              <w:right w:w="105" w:type="dxa"/>
            </w:tcMar>
          </w:tcPr>
          <w:p w14:paraId="535E9F86" w14:textId="77777777" w:rsidR="00CC3B7D" w:rsidRDefault="007B010E">
            <w:r>
              <w:rPr>
                <w:rFonts w:ascii="Calibri" w:eastAsia="Calibri" w:hAnsi="Calibri" w:cs="Calibri"/>
                <w:color w:val="000000"/>
                <w:sz w:val="20"/>
                <w:szCs w:val="20"/>
              </w:rPr>
              <w:t>Base year (actual)</w:t>
            </w:r>
          </w:p>
        </w:tc>
      </w:tr>
      <w:tr w:rsidR="00CC3B7D" w14:paraId="535E9F8D"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88" w14:textId="77777777" w:rsidR="00CC3B7D" w:rsidRDefault="007B010E">
            <w:r>
              <w:rPr>
                <w:rFonts w:ascii="Calibri" w:eastAsia="Calibri" w:hAnsi="Calibri" w:cs="Calibri"/>
                <w:color w:val="000000"/>
                <w:sz w:val="20"/>
                <w:szCs w:val="20"/>
              </w:rPr>
              <w:t>2025</w:t>
            </w:r>
          </w:p>
        </w:tc>
        <w:tc>
          <w:tcPr>
            <w:tcW w:w="1000" w:type="pct"/>
            <w:shd w:val="clear" w:color="auto" w:fill="FFFFFF"/>
            <w:tcMar>
              <w:top w:w="75" w:type="dxa"/>
              <w:left w:w="105" w:type="dxa"/>
              <w:bottom w:w="75" w:type="dxa"/>
              <w:right w:w="105" w:type="dxa"/>
            </w:tcMar>
          </w:tcPr>
          <w:p w14:paraId="535E9F89" w14:textId="77777777" w:rsidR="00CC3B7D" w:rsidRDefault="007B010E">
            <w:r>
              <w:rPr>
                <w:rFonts w:ascii="Calibri" w:eastAsia="Calibri" w:hAnsi="Calibri" w:cs="Calibri"/>
                <w:color w:val="000000"/>
                <w:sz w:val="20"/>
                <w:szCs w:val="20"/>
              </w:rPr>
              <w:t>492,000</w:t>
            </w:r>
          </w:p>
        </w:tc>
        <w:tc>
          <w:tcPr>
            <w:tcW w:w="1000" w:type="pct"/>
            <w:shd w:val="clear" w:color="auto" w:fill="FFFFFF"/>
            <w:tcMar>
              <w:top w:w="75" w:type="dxa"/>
              <w:left w:w="105" w:type="dxa"/>
              <w:bottom w:w="75" w:type="dxa"/>
              <w:right w:w="105" w:type="dxa"/>
            </w:tcMar>
          </w:tcPr>
          <w:p w14:paraId="535E9F8A" w14:textId="77777777" w:rsidR="00CC3B7D" w:rsidRDefault="007B010E">
            <w:r>
              <w:rPr>
                <w:rFonts w:ascii="Calibri" w:eastAsia="Calibri" w:hAnsi="Calibri" w:cs="Calibri"/>
                <w:color w:val="000000"/>
                <w:sz w:val="20"/>
                <w:szCs w:val="20"/>
              </w:rPr>
              <w:t>488,000</w:t>
            </w:r>
          </w:p>
        </w:tc>
        <w:tc>
          <w:tcPr>
            <w:tcW w:w="1000" w:type="pct"/>
            <w:shd w:val="clear" w:color="auto" w:fill="FFFFFF"/>
            <w:tcMar>
              <w:top w:w="75" w:type="dxa"/>
              <w:left w:w="105" w:type="dxa"/>
              <w:bottom w:w="75" w:type="dxa"/>
              <w:right w:w="105" w:type="dxa"/>
            </w:tcMar>
          </w:tcPr>
          <w:p w14:paraId="535E9F8B" w14:textId="77777777" w:rsidR="00CC3B7D" w:rsidRDefault="007B010E">
            <w:r>
              <w:rPr>
                <w:rFonts w:ascii="Calibri" w:eastAsia="Calibri" w:hAnsi="Calibri" w:cs="Calibri"/>
                <w:color w:val="000000"/>
                <w:sz w:val="20"/>
                <w:szCs w:val="20"/>
              </w:rPr>
              <w:t>4,000</w:t>
            </w:r>
          </w:p>
        </w:tc>
        <w:tc>
          <w:tcPr>
            <w:tcW w:w="1000" w:type="pct"/>
            <w:shd w:val="clear" w:color="auto" w:fill="FFFFFF"/>
            <w:tcMar>
              <w:top w:w="75" w:type="dxa"/>
              <w:left w:w="105" w:type="dxa"/>
              <w:bottom w:w="75" w:type="dxa"/>
              <w:right w:w="105" w:type="dxa"/>
            </w:tcMar>
          </w:tcPr>
          <w:p w14:paraId="535E9F8C" w14:textId="77777777" w:rsidR="00CC3B7D" w:rsidRDefault="007B010E">
            <w:r>
              <w:rPr>
                <w:rFonts w:ascii="Calibri" w:eastAsia="Calibri" w:hAnsi="Calibri" w:cs="Calibri"/>
                <w:color w:val="000000"/>
                <w:sz w:val="20"/>
                <w:szCs w:val="20"/>
              </w:rPr>
              <w:t>Minor constraint emergence</w:t>
            </w:r>
          </w:p>
        </w:tc>
      </w:tr>
      <w:tr w:rsidR="00CC3B7D" w14:paraId="535E9F93"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8E" w14:textId="77777777" w:rsidR="00CC3B7D" w:rsidRDefault="007B010E">
            <w:r>
              <w:rPr>
                <w:rFonts w:ascii="Calibri" w:eastAsia="Calibri" w:hAnsi="Calibri" w:cs="Calibri"/>
                <w:color w:val="000000"/>
                <w:sz w:val="20"/>
                <w:szCs w:val="20"/>
              </w:rPr>
              <w:t>2026</w:t>
            </w:r>
          </w:p>
        </w:tc>
        <w:tc>
          <w:tcPr>
            <w:tcW w:w="1000" w:type="pct"/>
            <w:shd w:val="clear" w:color="auto" w:fill="FFFFFF"/>
            <w:tcMar>
              <w:top w:w="75" w:type="dxa"/>
              <w:left w:w="105" w:type="dxa"/>
              <w:bottom w:w="75" w:type="dxa"/>
              <w:right w:w="105" w:type="dxa"/>
            </w:tcMar>
          </w:tcPr>
          <w:p w14:paraId="535E9F8F" w14:textId="77777777" w:rsidR="00CC3B7D" w:rsidRDefault="007B010E">
            <w:r>
              <w:rPr>
                <w:rFonts w:ascii="Calibri" w:eastAsia="Calibri" w:hAnsi="Calibri" w:cs="Calibri"/>
                <w:color w:val="000000"/>
                <w:sz w:val="20"/>
                <w:szCs w:val="20"/>
              </w:rPr>
              <w:t>510,000</w:t>
            </w:r>
          </w:p>
        </w:tc>
        <w:tc>
          <w:tcPr>
            <w:tcW w:w="1000" w:type="pct"/>
            <w:shd w:val="clear" w:color="auto" w:fill="FFFFFF"/>
            <w:tcMar>
              <w:top w:w="75" w:type="dxa"/>
              <w:left w:w="105" w:type="dxa"/>
              <w:bottom w:w="75" w:type="dxa"/>
              <w:right w:w="105" w:type="dxa"/>
            </w:tcMar>
          </w:tcPr>
          <w:p w14:paraId="535E9F90" w14:textId="77777777" w:rsidR="00CC3B7D" w:rsidRDefault="007B010E">
            <w:r>
              <w:rPr>
                <w:rFonts w:ascii="Calibri" w:eastAsia="Calibri" w:hAnsi="Calibri" w:cs="Calibri"/>
                <w:color w:val="000000"/>
                <w:sz w:val="20"/>
                <w:szCs w:val="20"/>
              </w:rPr>
              <w:t>498,000</w:t>
            </w:r>
          </w:p>
        </w:tc>
        <w:tc>
          <w:tcPr>
            <w:tcW w:w="1000" w:type="pct"/>
            <w:shd w:val="clear" w:color="auto" w:fill="FFFFFF"/>
            <w:tcMar>
              <w:top w:w="75" w:type="dxa"/>
              <w:left w:w="105" w:type="dxa"/>
              <w:bottom w:w="75" w:type="dxa"/>
              <w:right w:w="105" w:type="dxa"/>
            </w:tcMar>
          </w:tcPr>
          <w:p w14:paraId="535E9F91" w14:textId="77777777" w:rsidR="00CC3B7D" w:rsidRDefault="007B010E">
            <w:r>
              <w:rPr>
                <w:rFonts w:ascii="Calibri" w:eastAsia="Calibri" w:hAnsi="Calibri" w:cs="Calibri"/>
                <w:color w:val="000000"/>
                <w:sz w:val="20"/>
                <w:szCs w:val="20"/>
              </w:rPr>
              <w:t>12,000</w:t>
            </w:r>
          </w:p>
        </w:tc>
        <w:tc>
          <w:tcPr>
            <w:tcW w:w="1000" w:type="pct"/>
            <w:shd w:val="clear" w:color="auto" w:fill="FFFFFF"/>
            <w:tcMar>
              <w:top w:w="75" w:type="dxa"/>
              <w:left w:w="105" w:type="dxa"/>
              <w:bottom w:w="75" w:type="dxa"/>
              <w:right w:w="105" w:type="dxa"/>
            </w:tcMar>
          </w:tcPr>
          <w:p w14:paraId="535E9F92" w14:textId="77777777" w:rsidR="00CC3B7D" w:rsidRDefault="007B010E">
            <w:r>
              <w:rPr>
                <w:rFonts w:ascii="Calibri" w:eastAsia="Calibri" w:hAnsi="Calibri" w:cs="Calibri"/>
                <w:color w:val="000000"/>
                <w:sz w:val="20"/>
                <w:szCs w:val="20"/>
              </w:rPr>
              <w:t>Constraint gap widens</w:t>
            </w:r>
          </w:p>
        </w:tc>
      </w:tr>
      <w:tr w:rsidR="00CC3B7D" w14:paraId="535E9F99"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94" w14:textId="77777777" w:rsidR="00CC3B7D" w:rsidRDefault="007B010E">
            <w:r>
              <w:rPr>
                <w:rFonts w:ascii="Calibri" w:eastAsia="Calibri" w:hAnsi="Calibri" w:cs="Calibri"/>
                <w:color w:val="000000"/>
                <w:sz w:val="20"/>
                <w:szCs w:val="20"/>
              </w:rPr>
              <w:t>2027</w:t>
            </w:r>
          </w:p>
        </w:tc>
        <w:tc>
          <w:tcPr>
            <w:tcW w:w="1000" w:type="pct"/>
            <w:shd w:val="clear" w:color="auto" w:fill="FFFFFF"/>
            <w:tcMar>
              <w:top w:w="75" w:type="dxa"/>
              <w:left w:w="105" w:type="dxa"/>
              <w:bottom w:w="75" w:type="dxa"/>
              <w:right w:w="105" w:type="dxa"/>
            </w:tcMar>
          </w:tcPr>
          <w:p w14:paraId="535E9F95" w14:textId="77777777" w:rsidR="00CC3B7D" w:rsidRDefault="007B010E">
            <w:r>
              <w:rPr>
                <w:rFonts w:ascii="Calibri" w:eastAsia="Calibri" w:hAnsi="Calibri" w:cs="Calibri"/>
                <w:color w:val="000000"/>
                <w:sz w:val="20"/>
                <w:szCs w:val="20"/>
              </w:rPr>
              <w:t>529,000</w:t>
            </w:r>
          </w:p>
        </w:tc>
        <w:tc>
          <w:tcPr>
            <w:tcW w:w="1000" w:type="pct"/>
            <w:shd w:val="clear" w:color="auto" w:fill="FFFFFF"/>
            <w:tcMar>
              <w:top w:w="75" w:type="dxa"/>
              <w:left w:w="105" w:type="dxa"/>
              <w:bottom w:w="75" w:type="dxa"/>
              <w:right w:w="105" w:type="dxa"/>
            </w:tcMar>
          </w:tcPr>
          <w:p w14:paraId="535E9F96" w14:textId="77777777" w:rsidR="00CC3B7D" w:rsidRDefault="007B010E">
            <w:r>
              <w:rPr>
                <w:rFonts w:ascii="Calibri" w:eastAsia="Calibri" w:hAnsi="Calibri" w:cs="Calibri"/>
                <w:color w:val="000000"/>
                <w:sz w:val="20"/>
                <w:szCs w:val="20"/>
              </w:rPr>
              <w:t>505,000</w:t>
            </w:r>
          </w:p>
        </w:tc>
        <w:tc>
          <w:tcPr>
            <w:tcW w:w="1000" w:type="pct"/>
            <w:shd w:val="clear" w:color="auto" w:fill="FFFFFF"/>
            <w:tcMar>
              <w:top w:w="75" w:type="dxa"/>
              <w:left w:w="105" w:type="dxa"/>
              <w:bottom w:w="75" w:type="dxa"/>
              <w:right w:w="105" w:type="dxa"/>
            </w:tcMar>
          </w:tcPr>
          <w:p w14:paraId="535E9F97" w14:textId="77777777" w:rsidR="00CC3B7D" w:rsidRDefault="007B010E">
            <w:r>
              <w:rPr>
                <w:rFonts w:ascii="Calibri" w:eastAsia="Calibri" w:hAnsi="Calibri" w:cs="Calibri"/>
                <w:color w:val="000000"/>
                <w:sz w:val="20"/>
                <w:szCs w:val="20"/>
              </w:rPr>
              <w:t>24,000</w:t>
            </w:r>
          </w:p>
        </w:tc>
        <w:tc>
          <w:tcPr>
            <w:tcW w:w="1000" w:type="pct"/>
            <w:shd w:val="clear" w:color="auto" w:fill="FFFFFF"/>
            <w:tcMar>
              <w:top w:w="75" w:type="dxa"/>
              <w:left w:w="105" w:type="dxa"/>
              <w:bottom w:w="75" w:type="dxa"/>
              <w:right w:w="105" w:type="dxa"/>
            </w:tcMar>
          </w:tcPr>
          <w:p w14:paraId="535E9F98" w14:textId="77777777" w:rsidR="00CC3B7D" w:rsidRDefault="007B010E">
            <w:r>
              <w:rPr>
                <w:rFonts w:ascii="Calibri" w:eastAsia="Calibri" w:hAnsi="Calibri" w:cs="Calibri"/>
                <w:color w:val="000000"/>
                <w:sz w:val="20"/>
                <w:szCs w:val="20"/>
              </w:rPr>
              <w:t>Demand exceeds peak capacity windows</w:t>
            </w:r>
          </w:p>
        </w:tc>
      </w:tr>
      <w:tr w:rsidR="00CC3B7D" w14:paraId="535E9F9F"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9A" w14:textId="77777777" w:rsidR="00CC3B7D" w:rsidRDefault="007B010E">
            <w:r>
              <w:rPr>
                <w:rFonts w:ascii="Calibri" w:eastAsia="Calibri" w:hAnsi="Calibri" w:cs="Calibri"/>
                <w:color w:val="000000"/>
                <w:sz w:val="20"/>
                <w:szCs w:val="20"/>
              </w:rPr>
              <w:t>2028</w:t>
            </w:r>
          </w:p>
        </w:tc>
        <w:tc>
          <w:tcPr>
            <w:tcW w:w="1000" w:type="pct"/>
            <w:shd w:val="clear" w:color="auto" w:fill="FFFFFF"/>
            <w:tcMar>
              <w:top w:w="75" w:type="dxa"/>
              <w:left w:w="105" w:type="dxa"/>
              <w:bottom w:w="75" w:type="dxa"/>
              <w:right w:w="105" w:type="dxa"/>
            </w:tcMar>
          </w:tcPr>
          <w:p w14:paraId="535E9F9B" w14:textId="77777777" w:rsidR="00CC3B7D" w:rsidRDefault="007B010E">
            <w:r>
              <w:rPr>
                <w:rFonts w:ascii="Calibri" w:eastAsia="Calibri" w:hAnsi="Calibri" w:cs="Calibri"/>
                <w:color w:val="000000"/>
                <w:sz w:val="20"/>
                <w:szCs w:val="20"/>
              </w:rPr>
              <w:t>548,000</w:t>
            </w:r>
          </w:p>
        </w:tc>
        <w:tc>
          <w:tcPr>
            <w:tcW w:w="1000" w:type="pct"/>
            <w:shd w:val="clear" w:color="auto" w:fill="FFFFFF"/>
            <w:tcMar>
              <w:top w:w="75" w:type="dxa"/>
              <w:left w:w="105" w:type="dxa"/>
              <w:bottom w:w="75" w:type="dxa"/>
              <w:right w:w="105" w:type="dxa"/>
            </w:tcMar>
          </w:tcPr>
          <w:p w14:paraId="535E9F9C" w14:textId="77777777" w:rsidR="00CC3B7D" w:rsidRDefault="007B010E">
            <w:r>
              <w:rPr>
                <w:rFonts w:ascii="Calibri" w:eastAsia="Calibri" w:hAnsi="Calibri" w:cs="Calibri"/>
                <w:color w:val="000000"/>
                <w:sz w:val="20"/>
                <w:szCs w:val="20"/>
              </w:rPr>
              <w:t>510,000</w:t>
            </w:r>
          </w:p>
        </w:tc>
        <w:tc>
          <w:tcPr>
            <w:tcW w:w="1000" w:type="pct"/>
            <w:shd w:val="clear" w:color="auto" w:fill="FFFFFF"/>
            <w:tcMar>
              <w:top w:w="75" w:type="dxa"/>
              <w:left w:w="105" w:type="dxa"/>
              <w:bottom w:w="75" w:type="dxa"/>
              <w:right w:w="105" w:type="dxa"/>
            </w:tcMar>
          </w:tcPr>
          <w:p w14:paraId="535E9F9D" w14:textId="77777777" w:rsidR="00CC3B7D" w:rsidRDefault="007B010E">
            <w:r>
              <w:rPr>
                <w:rFonts w:ascii="Calibri" w:eastAsia="Calibri" w:hAnsi="Calibri" w:cs="Calibri"/>
                <w:color w:val="000000"/>
                <w:sz w:val="20"/>
                <w:szCs w:val="20"/>
              </w:rPr>
              <w:t>38,000</w:t>
            </w:r>
          </w:p>
        </w:tc>
        <w:tc>
          <w:tcPr>
            <w:tcW w:w="1000" w:type="pct"/>
            <w:shd w:val="clear" w:color="auto" w:fill="FFFFFF"/>
            <w:tcMar>
              <w:top w:w="75" w:type="dxa"/>
              <w:left w:w="105" w:type="dxa"/>
              <w:bottom w:w="75" w:type="dxa"/>
              <w:right w:w="105" w:type="dxa"/>
            </w:tcMar>
          </w:tcPr>
          <w:p w14:paraId="535E9F9E" w14:textId="77777777" w:rsidR="00CC3B7D" w:rsidRDefault="00CC3B7D"/>
        </w:tc>
      </w:tr>
      <w:tr w:rsidR="00CC3B7D" w14:paraId="535E9FA5"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A0" w14:textId="77777777" w:rsidR="00CC3B7D" w:rsidRDefault="007B010E">
            <w:r>
              <w:rPr>
                <w:rFonts w:ascii="Calibri" w:eastAsia="Calibri" w:hAnsi="Calibri" w:cs="Calibri"/>
                <w:color w:val="000000"/>
                <w:sz w:val="20"/>
                <w:szCs w:val="20"/>
              </w:rPr>
              <w:t>2029</w:t>
            </w:r>
          </w:p>
        </w:tc>
        <w:tc>
          <w:tcPr>
            <w:tcW w:w="1000" w:type="pct"/>
            <w:shd w:val="clear" w:color="auto" w:fill="FFFFFF"/>
            <w:tcMar>
              <w:top w:w="75" w:type="dxa"/>
              <w:left w:w="105" w:type="dxa"/>
              <w:bottom w:w="75" w:type="dxa"/>
              <w:right w:w="105" w:type="dxa"/>
            </w:tcMar>
          </w:tcPr>
          <w:p w14:paraId="535E9FA1" w14:textId="77777777" w:rsidR="00CC3B7D" w:rsidRDefault="007B010E">
            <w:r>
              <w:rPr>
                <w:rFonts w:ascii="Calibri" w:eastAsia="Calibri" w:hAnsi="Calibri" w:cs="Calibri"/>
                <w:color w:val="000000"/>
                <w:sz w:val="20"/>
                <w:szCs w:val="20"/>
              </w:rPr>
              <w:t>568,000</w:t>
            </w:r>
          </w:p>
        </w:tc>
        <w:tc>
          <w:tcPr>
            <w:tcW w:w="1000" w:type="pct"/>
            <w:shd w:val="clear" w:color="auto" w:fill="FFFFFF"/>
            <w:tcMar>
              <w:top w:w="75" w:type="dxa"/>
              <w:left w:w="105" w:type="dxa"/>
              <w:bottom w:w="75" w:type="dxa"/>
              <w:right w:w="105" w:type="dxa"/>
            </w:tcMar>
          </w:tcPr>
          <w:p w14:paraId="535E9FA2" w14:textId="77777777" w:rsidR="00CC3B7D" w:rsidRDefault="007B010E">
            <w:r>
              <w:rPr>
                <w:rFonts w:ascii="Calibri" w:eastAsia="Calibri" w:hAnsi="Calibri" w:cs="Calibri"/>
                <w:color w:val="000000"/>
                <w:sz w:val="20"/>
                <w:szCs w:val="20"/>
              </w:rPr>
              <w:t>513,000</w:t>
            </w:r>
          </w:p>
        </w:tc>
        <w:tc>
          <w:tcPr>
            <w:tcW w:w="1000" w:type="pct"/>
            <w:shd w:val="clear" w:color="auto" w:fill="FFFFFF"/>
            <w:tcMar>
              <w:top w:w="75" w:type="dxa"/>
              <w:left w:w="105" w:type="dxa"/>
              <w:bottom w:w="75" w:type="dxa"/>
              <w:right w:w="105" w:type="dxa"/>
            </w:tcMar>
          </w:tcPr>
          <w:p w14:paraId="535E9FA3" w14:textId="77777777" w:rsidR="00CC3B7D" w:rsidRDefault="007B010E">
            <w:r>
              <w:rPr>
                <w:rFonts w:ascii="Calibri" w:eastAsia="Calibri" w:hAnsi="Calibri" w:cs="Calibri"/>
                <w:color w:val="000000"/>
                <w:sz w:val="20"/>
                <w:szCs w:val="20"/>
              </w:rPr>
              <w:t>55,000</w:t>
            </w:r>
          </w:p>
        </w:tc>
        <w:tc>
          <w:tcPr>
            <w:tcW w:w="1000" w:type="pct"/>
            <w:shd w:val="clear" w:color="auto" w:fill="FFFFFF"/>
            <w:tcMar>
              <w:top w:w="75" w:type="dxa"/>
              <w:left w:w="105" w:type="dxa"/>
              <w:bottom w:w="75" w:type="dxa"/>
              <w:right w:w="105" w:type="dxa"/>
            </w:tcMar>
          </w:tcPr>
          <w:p w14:paraId="535E9FA4" w14:textId="77777777" w:rsidR="00CC3B7D" w:rsidRDefault="00CC3B7D"/>
        </w:tc>
      </w:tr>
      <w:tr w:rsidR="00CC3B7D" w14:paraId="535E9FAB"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A6" w14:textId="77777777" w:rsidR="00CC3B7D" w:rsidRDefault="007B010E">
            <w:r>
              <w:rPr>
                <w:rFonts w:ascii="Calibri" w:eastAsia="Calibri" w:hAnsi="Calibri" w:cs="Calibri"/>
                <w:color w:val="000000"/>
                <w:sz w:val="20"/>
                <w:szCs w:val="20"/>
              </w:rPr>
              <w:t>2030</w:t>
            </w:r>
          </w:p>
        </w:tc>
        <w:tc>
          <w:tcPr>
            <w:tcW w:w="1000" w:type="pct"/>
            <w:shd w:val="clear" w:color="auto" w:fill="FFFFFF"/>
            <w:tcMar>
              <w:top w:w="75" w:type="dxa"/>
              <w:left w:w="105" w:type="dxa"/>
              <w:bottom w:w="75" w:type="dxa"/>
              <w:right w:w="105" w:type="dxa"/>
            </w:tcMar>
          </w:tcPr>
          <w:p w14:paraId="535E9FA7" w14:textId="77777777" w:rsidR="00CC3B7D" w:rsidRDefault="007B010E">
            <w:r>
              <w:rPr>
                <w:rFonts w:ascii="Calibri" w:eastAsia="Calibri" w:hAnsi="Calibri" w:cs="Calibri"/>
                <w:color w:val="000000"/>
                <w:sz w:val="20"/>
                <w:szCs w:val="20"/>
              </w:rPr>
              <w:t>589,000</w:t>
            </w:r>
          </w:p>
        </w:tc>
        <w:tc>
          <w:tcPr>
            <w:tcW w:w="1000" w:type="pct"/>
            <w:shd w:val="clear" w:color="auto" w:fill="FFFFFF"/>
            <w:tcMar>
              <w:top w:w="75" w:type="dxa"/>
              <w:left w:w="105" w:type="dxa"/>
              <w:bottom w:w="75" w:type="dxa"/>
              <w:right w:w="105" w:type="dxa"/>
            </w:tcMar>
          </w:tcPr>
          <w:p w14:paraId="535E9FA8" w14:textId="77777777" w:rsidR="00CC3B7D" w:rsidRDefault="007B010E">
            <w:r>
              <w:rPr>
                <w:rFonts w:ascii="Calibri" w:eastAsia="Calibri" w:hAnsi="Calibri" w:cs="Calibri"/>
                <w:color w:val="000000"/>
                <w:sz w:val="20"/>
                <w:szCs w:val="20"/>
              </w:rPr>
              <w:t>515,000</w:t>
            </w:r>
          </w:p>
        </w:tc>
        <w:tc>
          <w:tcPr>
            <w:tcW w:w="1000" w:type="pct"/>
            <w:shd w:val="clear" w:color="auto" w:fill="FFFFFF"/>
            <w:tcMar>
              <w:top w:w="75" w:type="dxa"/>
              <w:left w:w="105" w:type="dxa"/>
              <w:bottom w:w="75" w:type="dxa"/>
              <w:right w:w="105" w:type="dxa"/>
            </w:tcMar>
          </w:tcPr>
          <w:p w14:paraId="535E9FA9" w14:textId="77777777" w:rsidR="00CC3B7D" w:rsidRDefault="007B010E">
            <w:r>
              <w:rPr>
                <w:rFonts w:ascii="Calibri" w:eastAsia="Calibri" w:hAnsi="Calibri" w:cs="Calibri"/>
                <w:color w:val="000000"/>
                <w:sz w:val="20"/>
                <w:szCs w:val="20"/>
              </w:rPr>
              <w:t>74,000</w:t>
            </w:r>
          </w:p>
        </w:tc>
        <w:tc>
          <w:tcPr>
            <w:tcW w:w="1000" w:type="pct"/>
            <w:shd w:val="clear" w:color="auto" w:fill="FFFFFF"/>
            <w:tcMar>
              <w:top w:w="75" w:type="dxa"/>
              <w:left w:w="105" w:type="dxa"/>
              <w:bottom w:w="75" w:type="dxa"/>
              <w:right w:w="105" w:type="dxa"/>
            </w:tcMar>
          </w:tcPr>
          <w:p w14:paraId="535E9FAA" w14:textId="77777777" w:rsidR="00CC3B7D" w:rsidRDefault="007B010E">
            <w:r>
              <w:rPr>
                <w:rFonts w:ascii="Calibri" w:eastAsia="Calibri" w:hAnsi="Calibri" w:cs="Calibri"/>
                <w:color w:val="000000"/>
                <w:sz w:val="20"/>
                <w:szCs w:val="20"/>
              </w:rPr>
              <w:t>Gate saturation begins</w:t>
            </w:r>
          </w:p>
        </w:tc>
      </w:tr>
      <w:tr w:rsidR="00CC3B7D" w14:paraId="535E9FB1"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AC" w14:textId="77777777" w:rsidR="00CC3B7D" w:rsidRDefault="007B010E">
            <w:r>
              <w:rPr>
                <w:rFonts w:ascii="Calibri" w:eastAsia="Calibri" w:hAnsi="Calibri" w:cs="Calibri"/>
                <w:color w:val="000000"/>
                <w:sz w:val="20"/>
                <w:szCs w:val="20"/>
              </w:rPr>
              <w:t>2031</w:t>
            </w:r>
          </w:p>
        </w:tc>
        <w:tc>
          <w:tcPr>
            <w:tcW w:w="1000" w:type="pct"/>
            <w:shd w:val="clear" w:color="auto" w:fill="FFFFFF"/>
            <w:tcMar>
              <w:top w:w="75" w:type="dxa"/>
              <w:left w:w="105" w:type="dxa"/>
              <w:bottom w:w="75" w:type="dxa"/>
              <w:right w:w="105" w:type="dxa"/>
            </w:tcMar>
          </w:tcPr>
          <w:p w14:paraId="535E9FAD" w14:textId="77777777" w:rsidR="00CC3B7D" w:rsidRDefault="007B010E">
            <w:r>
              <w:rPr>
                <w:rFonts w:ascii="Calibri" w:eastAsia="Calibri" w:hAnsi="Calibri" w:cs="Calibri"/>
                <w:color w:val="000000"/>
                <w:sz w:val="20"/>
                <w:szCs w:val="20"/>
              </w:rPr>
              <w:t>611,000</w:t>
            </w:r>
          </w:p>
        </w:tc>
        <w:tc>
          <w:tcPr>
            <w:tcW w:w="1000" w:type="pct"/>
            <w:shd w:val="clear" w:color="auto" w:fill="FFFFFF"/>
            <w:tcMar>
              <w:top w:w="75" w:type="dxa"/>
              <w:left w:w="105" w:type="dxa"/>
              <w:bottom w:w="75" w:type="dxa"/>
              <w:right w:w="105" w:type="dxa"/>
            </w:tcMar>
          </w:tcPr>
          <w:p w14:paraId="535E9FAE" w14:textId="77777777" w:rsidR="00CC3B7D" w:rsidRDefault="007B010E">
            <w:r>
              <w:rPr>
                <w:rFonts w:ascii="Calibri" w:eastAsia="Calibri" w:hAnsi="Calibri" w:cs="Calibri"/>
                <w:color w:val="000000"/>
                <w:sz w:val="20"/>
                <w:szCs w:val="20"/>
              </w:rPr>
              <w:t>516,000</w:t>
            </w:r>
          </w:p>
        </w:tc>
        <w:tc>
          <w:tcPr>
            <w:tcW w:w="1000" w:type="pct"/>
            <w:shd w:val="clear" w:color="auto" w:fill="FFFFFF"/>
            <w:tcMar>
              <w:top w:w="75" w:type="dxa"/>
              <w:left w:w="105" w:type="dxa"/>
              <w:bottom w:w="75" w:type="dxa"/>
              <w:right w:w="105" w:type="dxa"/>
            </w:tcMar>
          </w:tcPr>
          <w:p w14:paraId="535E9FAF" w14:textId="77777777" w:rsidR="00CC3B7D" w:rsidRDefault="007B010E">
            <w:r>
              <w:rPr>
                <w:rFonts w:ascii="Calibri" w:eastAsia="Calibri" w:hAnsi="Calibri" w:cs="Calibri"/>
                <w:color w:val="000000"/>
                <w:sz w:val="20"/>
                <w:szCs w:val="20"/>
              </w:rPr>
              <w:t>95,000</w:t>
            </w:r>
          </w:p>
        </w:tc>
        <w:tc>
          <w:tcPr>
            <w:tcW w:w="1000" w:type="pct"/>
            <w:shd w:val="clear" w:color="auto" w:fill="FFFFFF"/>
            <w:tcMar>
              <w:top w:w="75" w:type="dxa"/>
              <w:left w:w="105" w:type="dxa"/>
              <w:bottom w:w="75" w:type="dxa"/>
              <w:right w:w="105" w:type="dxa"/>
            </w:tcMar>
          </w:tcPr>
          <w:p w14:paraId="535E9FB0" w14:textId="77777777" w:rsidR="00CC3B7D" w:rsidRDefault="00CC3B7D"/>
        </w:tc>
      </w:tr>
      <w:tr w:rsidR="00CC3B7D" w14:paraId="535E9FB7"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B2" w14:textId="77777777" w:rsidR="00CC3B7D" w:rsidRDefault="007B010E">
            <w:r>
              <w:rPr>
                <w:rFonts w:ascii="Calibri" w:eastAsia="Calibri" w:hAnsi="Calibri" w:cs="Calibri"/>
                <w:color w:val="000000"/>
                <w:sz w:val="20"/>
                <w:szCs w:val="20"/>
              </w:rPr>
              <w:t>2032</w:t>
            </w:r>
          </w:p>
        </w:tc>
        <w:tc>
          <w:tcPr>
            <w:tcW w:w="1000" w:type="pct"/>
            <w:shd w:val="clear" w:color="auto" w:fill="FFFFFF"/>
            <w:tcMar>
              <w:top w:w="75" w:type="dxa"/>
              <w:left w:w="105" w:type="dxa"/>
              <w:bottom w:w="75" w:type="dxa"/>
              <w:right w:w="105" w:type="dxa"/>
            </w:tcMar>
          </w:tcPr>
          <w:p w14:paraId="535E9FB3" w14:textId="77777777" w:rsidR="00CC3B7D" w:rsidRDefault="007B010E">
            <w:r>
              <w:rPr>
                <w:rFonts w:ascii="Calibri" w:eastAsia="Calibri" w:hAnsi="Calibri" w:cs="Calibri"/>
                <w:color w:val="000000"/>
                <w:sz w:val="20"/>
                <w:szCs w:val="20"/>
              </w:rPr>
              <w:t>634,000</w:t>
            </w:r>
          </w:p>
        </w:tc>
        <w:tc>
          <w:tcPr>
            <w:tcW w:w="1000" w:type="pct"/>
            <w:shd w:val="clear" w:color="auto" w:fill="FFFFFF"/>
            <w:tcMar>
              <w:top w:w="75" w:type="dxa"/>
              <w:left w:w="105" w:type="dxa"/>
              <w:bottom w:w="75" w:type="dxa"/>
              <w:right w:w="105" w:type="dxa"/>
            </w:tcMar>
          </w:tcPr>
          <w:p w14:paraId="535E9FB4" w14:textId="77777777" w:rsidR="00CC3B7D" w:rsidRDefault="007B010E">
            <w:r>
              <w:rPr>
                <w:rFonts w:ascii="Calibri" w:eastAsia="Calibri" w:hAnsi="Calibri" w:cs="Calibri"/>
                <w:color w:val="000000"/>
                <w:sz w:val="20"/>
                <w:szCs w:val="20"/>
              </w:rPr>
              <w:t>517,000</w:t>
            </w:r>
          </w:p>
        </w:tc>
        <w:tc>
          <w:tcPr>
            <w:tcW w:w="1000" w:type="pct"/>
            <w:shd w:val="clear" w:color="auto" w:fill="FFFFFF"/>
            <w:tcMar>
              <w:top w:w="75" w:type="dxa"/>
              <w:left w:w="105" w:type="dxa"/>
              <w:bottom w:w="75" w:type="dxa"/>
              <w:right w:w="105" w:type="dxa"/>
            </w:tcMar>
          </w:tcPr>
          <w:p w14:paraId="535E9FB5" w14:textId="77777777" w:rsidR="00CC3B7D" w:rsidRDefault="007B010E">
            <w:r>
              <w:rPr>
                <w:rFonts w:ascii="Calibri" w:eastAsia="Calibri" w:hAnsi="Calibri" w:cs="Calibri"/>
                <w:color w:val="000000"/>
                <w:sz w:val="20"/>
                <w:szCs w:val="20"/>
              </w:rPr>
              <w:t>117,000</w:t>
            </w:r>
          </w:p>
        </w:tc>
        <w:tc>
          <w:tcPr>
            <w:tcW w:w="1000" w:type="pct"/>
            <w:shd w:val="clear" w:color="auto" w:fill="FFFFFF"/>
            <w:tcMar>
              <w:top w:w="75" w:type="dxa"/>
              <w:left w:w="105" w:type="dxa"/>
              <w:bottom w:w="75" w:type="dxa"/>
              <w:right w:w="105" w:type="dxa"/>
            </w:tcMar>
          </w:tcPr>
          <w:p w14:paraId="535E9FB6" w14:textId="77777777" w:rsidR="00CC3B7D" w:rsidRDefault="00CC3B7D"/>
        </w:tc>
      </w:tr>
      <w:tr w:rsidR="00CC3B7D" w14:paraId="535E9FBD"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B8" w14:textId="77777777" w:rsidR="00CC3B7D" w:rsidRDefault="007B010E">
            <w:r>
              <w:rPr>
                <w:rFonts w:ascii="Calibri" w:eastAsia="Calibri" w:hAnsi="Calibri" w:cs="Calibri"/>
                <w:color w:val="000000"/>
                <w:sz w:val="20"/>
                <w:szCs w:val="20"/>
              </w:rPr>
              <w:t>2033</w:t>
            </w:r>
          </w:p>
        </w:tc>
        <w:tc>
          <w:tcPr>
            <w:tcW w:w="1000" w:type="pct"/>
            <w:shd w:val="clear" w:color="auto" w:fill="FFFFFF"/>
            <w:tcMar>
              <w:top w:w="75" w:type="dxa"/>
              <w:left w:w="105" w:type="dxa"/>
              <w:bottom w:w="75" w:type="dxa"/>
              <w:right w:w="105" w:type="dxa"/>
            </w:tcMar>
          </w:tcPr>
          <w:p w14:paraId="535E9FB9" w14:textId="77777777" w:rsidR="00CC3B7D" w:rsidRDefault="007B010E">
            <w:r>
              <w:rPr>
                <w:rFonts w:ascii="Calibri" w:eastAsia="Calibri" w:hAnsi="Calibri" w:cs="Calibri"/>
                <w:color w:val="000000"/>
                <w:sz w:val="20"/>
                <w:szCs w:val="20"/>
              </w:rPr>
              <w:t>657,000</w:t>
            </w:r>
          </w:p>
        </w:tc>
        <w:tc>
          <w:tcPr>
            <w:tcW w:w="1000" w:type="pct"/>
            <w:shd w:val="clear" w:color="auto" w:fill="FFFFFF"/>
            <w:tcMar>
              <w:top w:w="75" w:type="dxa"/>
              <w:left w:w="105" w:type="dxa"/>
              <w:bottom w:w="75" w:type="dxa"/>
              <w:right w:w="105" w:type="dxa"/>
            </w:tcMar>
          </w:tcPr>
          <w:p w14:paraId="535E9FBA" w14:textId="77777777" w:rsidR="00CC3B7D" w:rsidRDefault="007B010E">
            <w:r>
              <w:rPr>
                <w:rFonts w:ascii="Calibri" w:eastAsia="Calibri" w:hAnsi="Calibri" w:cs="Calibri"/>
                <w:color w:val="000000"/>
                <w:sz w:val="20"/>
                <w:szCs w:val="20"/>
              </w:rPr>
              <w:t>517,000</w:t>
            </w:r>
          </w:p>
        </w:tc>
        <w:tc>
          <w:tcPr>
            <w:tcW w:w="1000" w:type="pct"/>
            <w:shd w:val="clear" w:color="auto" w:fill="FFFFFF"/>
            <w:tcMar>
              <w:top w:w="75" w:type="dxa"/>
              <w:left w:w="105" w:type="dxa"/>
              <w:bottom w:w="75" w:type="dxa"/>
              <w:right w:w="105" w:type="dxa"/>
            </w:tcMar>
          </w:tcPr>
          <w:p w14:paraId="535E9FBB" w14:textId="77777777" w:rsidR="00CC3B7D" w:rsidRDefault="007B010E">
            <w:r>
              <w:rPr>
                <w:rFonts w:ascii="Calibri" w:eastAsia="Calibri" w:hAnsi="Calibri" w:cs="Calibri"/>
                <w:color w:val="000000"/>
                <w:sz w:val="20"/>
                <w:szCs w:val="20"/>
              </w:rPr>
              <w:t>140,000</w:t>
            </w:r>
          </w:p>
        </w:tc>
        <w:tc>
          <w:tcPr>
            <w:tcW w:w="1000" w:type="pct"/>
            <w:shd w:val="clear" w:color="auto" w:fill="FFFFFF"/>
            <w:tcMar>
              <w:top w:w="75" w:type="dxa"/>
              <w:left w:w="105" w:type="dxa"/>
              <w:bottom w:w="75" w:type="dxa"/>
              <w:right w:w="105" w:type="dxa"/>
            </w:tcMar>
          </w:tcPr>
          <w:p w14:paraId="535E9FBC" w14:textId="77777777" w:rsidR="00CC3B7D" w:rsidRDefault="00CC3B7D"/>
        </w:tc>
      </w:tr>
      <w:tr w:rsidR="00CC3B7D" w14:paraId="535E9FC3"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BE" w14:textId="77777777" w:rsidR="00CC3B7D" w:rsidRDefault="007B010E">
            <w:r>
              <w:rPr>
                <w:rFonts w:ascii="Calibri" w:eastAsia="Calibri" w:hAnsi="Calibri" w:cs="Calibri"/>
                <w:color w:val="000000"/>
                <w:sz w:val="20"/>
                <w:szCs w:val="20"/>
              </w:rPr>
              <w:t>2034</w:t>
            </w:r>
          </w:p>
        </w:tc>
        <w:tc>
          <w:tcPr>
            <w:tcW w:w="1000" w:type="pct"/>
            <w:shd w:val="clear" w:color="auto" w:fill="FFFFFF"/>
            <w:tcMar>
              <w:top w:w="75" w:type="dxa"/>
              <w:left w:w="105" w:type="dxa"/>
              <w:bottom w:w="75" w:type="dxa"/>
              <w:right w:w="105" w:type="dxa"/>
            </w:tcMar>
          </w:tcPr>
          <w:p w14:paraId="535E9FBF" w14:textId="77777777" w:rsidR="00CC3B7D" w:rsidRDefault="007B010E">
            <w:r>
              <w:rPr>
                <w:rFonts w:ascii="Calibri" w:eastAsia="Calibri" w:hAnsi="Calibri" w:cs="Calibri"/>
                <w:color w:val="000000"/>
                <w:sz w:val="20"/>
                <w:szCs w:val="20"/>
              </w:rPr>
              <w:t>681,000</w:t>
            </w:r>
          </w:p>
        </w:tc>
        <w:tc>
          <w:tcPr>
            <w:tcW w:w="1000" w:type="pct"/>
            <w:shd w:val="clear" w:color="auto" w:fill="FFFFFF"/>
            <w:tcMar>
              <w:top w:w="75" w:type="dxa"/>
              <w:left w:w="105" w:type="dxa"/>
              <w:bottom w:w="75" w:type="dxa"/>
              <w:right w:w="105" w:type="dxa"/>
            </w:tcMar>
          </w:tcPr>
          <w:p w14:paraId="535E9FC0" w14:textId="77777777" w:rsidR="00CC3B7D" w:rsidRDefault="007B010E">
            <w:r>
              <w:rPr>
                <w:rFonts w:ascii="Calibri" w:eastAsia="Calibri" w:hAnsi="Calibri" w:cs="Calibri"/>
                <w:color w:val="000000"/>
                <w:sz w:val="20"/>
                <w:szCs w:val="20"/>
              </w:rPr>
              <w:t>517,000</w:t>
            </w:r>
          </w:p>
        </w:tc>
        <w:tc>
          <w:tcPr>
            <w:tcW w:w="1000" w:type="pct"/>
            <w:shd w:val="clear" w:color="auto" w:fill="FFFFFF"/>
            <w:tcMar>
              <w:top w:w="75" w:type="dxa"/>
              <w:left w:w="105" w:type="dxa"/>
              <w:bottom w:w="75" w:type="dxa"/>
              <w:right w:w="105" w:type="dxa"/>
            </w:tcMar>
          </w:tcPr>
          <w:p w14:paraId="535E9FC1" w14:textId="77777777" w:rsidR="00CC3B7D" w:rsidRDefault="007B010E">
            <w:r>
              <w:rPr>
                <w:rFonts w:ascii="Calibri" w:eastAsia="Calibri" w:hAnsi="Calibri" w:cs="Calibri"/>
                <w:color w:val="000000"/>
                <w:sz w:val="20"/>
                <w:szCs w:val="20"/>
              </w:rPr>
              <w:t>164,000</w:t>
            </w:r>
          </w:p>
        </w:tc>
        <w:tc>
          <w:tcPr>
            <w:tcW w:w="1000" w:type="pct"/>
            <w:shd w:val="clear" w:color="auto" w:fill="FFFFFF"/>
            <w:tcMar>
              <w:top w:w="75" w:type="dxa"/>
              <w:left w:w="105" w:type="dxa"/>
              <w:bottom w:w="75" w:type="dxa"/>
              <w:right w:w="105" w:type="dxa"/>
            </w:tcMar>
          </w:tcPr>
          <w:p w14:paraId="535E9FC2" w14:textId="77777777" w:rsidR="00CC3B7D" w:rsidRDefault="007B010E">
            <w:r>
              <w:rPr>
                <w:rFonts w:ascii="Calibri" w:eastAsia="Calibri" w:hAnsi="Calibri" w:cs="Calibri"/>
                <w:color w:val="000000"/>
                <w:sz w:val="20"/>
                <w:szCs w:val="20"/>
              </w:rPr>
              <w:t>Runway utilization ceiling approached</w:t>
            </w:r>
          </w:p>
        </w:tc>
      </w:tr>
      <w:tr w:rsidR="00CC3B7D" w14:paraId="535E9FC9"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C4" w14:textId="77777777" w:rsidR="00CC3B7D" w:rsidRDefault="007B010E">
            <w:r>
              <w:rPr>
                <w:rFonts w:ascii="Calibri" w:eastAsia="Calibri" w:hAnsi="Calibri" w:cs="Calibri"/>
                <w:color w:val="000000"/>
                <w:sz w:val="20"/>
                <w:szCs w:val="20"/>
              </w:rPr>
              <w:t>2035</w:t>
            </w:r>
          </w:p>
        </w:tc>
        <w:tc>
          <w:tcPr>
            <w:tcW w:w="1000" w:type="pct"/>
            <w:shd w:val="clear" w:color="auto" w:fill="FFFFFF"/>
            <w:tcMar>
              <w:top w:w="75" w:type="dxa"/>
              <w:left w:w="105" w:type="dxa"/>
              <w:bottom w:w="75" w:type="dxa"/>
              <w:right w:w="105" w:type="dxa"/>
            </w:tcMar>
          </w:tcPr>
          <w:p w14:paraId="535E9FC5" w14:textId="77777777" w:rsidR="00CC3B7D" w:rsidRDefault="007B010E">
            <w:r>
              <w:rPr>
                <w:rFonts w:ascii="Calibri" w:eastAsia="Calibri" w:hAnsi="Calibri" w:cs="Calibri"/>
                <w:color w:val="000000"/>
                <w:sz w:val="20"/>
                <w:szCs w:val="20"/>
              </w:rPr>
              <w:t>706,000</w:t>
            </w:r>
          </w:p>
        </w:tc>
        <w:tc>
          <w:tcPr>
            <w:tcW w:w="1000" w:type="pct"/>
            <w:shd w:val="clear" w:color="auto" w:fill="FFFFFF"/>
            <w:tcMar>
              <w:top w:w="75" w:type="dxa"/>
              <w:left w:w="105" w:type="dxa"/>
              <w:bottom w:w="75" w:type="dxa"/>
              <w:right w:w="105" w:type="dxa"/>
            </w:tcMar>
          </w:tcPr>
          <w:p w14:paraId="535E9FC6" w14:textId="77777777" w:rsidR="00CC3B7D" w:rsidRDefault="007B010E">
            <w:r>
              <w:rPr>
                <w:rFonts w:ascii="Calibri" w:eastAsia="Calibri" w:hAnsi="Calibri" w:cs="Calibri"/>
                <w:color w:val="000000"/>
                <w:sz w:val="20"/>
                <w:szCs w:val="20"/>
              </w:rPr>
              <w:t>517,000</w:t>
            </w:r>
          </w:p>
        </w:tc>
        <w:tc>
          <w:tcPr>
            <w:tcW w:w="1000" w:type="pct"/>
            <w:shd w:val="clear" w:color="auto" w:fill="FFFFFF"/>
            <w:tcMar>
              <w:top w:w="75" w:type="dxa"/>
              <w:left w:w="105" w:type="dxa"/>
              <w:bottom w:w="75" w:type="dxa"/>
              <w:right w:w="105" w:type="dxa"/>
            </w:tcMar>
          </w:tcPr>
          <w:p w14:paraId="535E9FC7" w14:textId="77777777" w:rsidR="00CC3B7D" w:rsidRDefault="007B010E">
            <w:r>
              <w:rPr>
                <w:rFonts w:ascii="Calibri" w:eastAsia="Calibri" w:hAnsi="Calibri" w:cs="Calibri"/>
                <w:color w:val="000000"/>
                <w:sz w:val="20"/>
                <w:szCs w:val="20"/>
              </w:rPr>
              <w:t>189,000</w:t>
            </w:r>
          </w:p>
        </w:tc>
        <w:tc>
          <w:tcPr>
            <w:tcW w:w="1000" w:type="pct"/>
            <w:shd w:val="clear" w:color="auto" w:fill="FFFFFF"/>
            <w:tcMar>
              <w:top w:w="75" w:type="dxa"/>
              <w:left w:w="105" w:type="dxa"/>
              <w:bottom w:w="75" w:type="dxa"/>
              <w:right w:w="105" w:type="dxa"/>
            </w:tcMar>
          </w:tcPr>
          <w:p w14:paraId="535E9FC8" w14:textId="77777777" w:rsidR="00CC3B7D" w:rsidRDefault="00CC3B7D"/>
        </w:tc>
      </w:tr>
      <w:tr w:rsidR="00CC3B7D" w14:paraId="535E9FCF"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CA" w14:textId="77777777" w:rsidR="00CC3B7D" w:rsidRDefault="007B010E">
            <w:r>
              <w:rPr>
                <w:rFonts w:ascii="Calibri" w:eastAsia="Calibri" w:hAnsi="Calibri" w:cs="Calibri"/>
                <w:color w:val="000000"/>
                <w:sz w:val="20"/>
                <w:szCs w:val="20"/>
              </w:rPr>
              <w:t>2036</w:t>
            </w:r>
          </w:p>
        </w:tc>
        <w:tc>
          <w:tcPr>
            <w:tcW w:w="1000" w:type="pct"/>
            <w:shd w:val="clear" w:color="auto" w:fill="FFFFFF"/>
            <w:tcMar>
              <w:top w:w="75" w:type="dxa"/>
              <w:left w:w="105" w:type="dxa"/>
              <w:bottom w:w="75" w:type="dxa"/>
              <w:right w:w="105" w:type="dxa"/>
            </w:tcMar>
          </w:tcPr>
          <w:p w14:paraId="535E9FCB" w14:textId="77777777" w:rsidR="00CC3B7D" w:rsidRDefault="007B010E">
            <w:r>
              <w:rPr>
                <w:rFonts w:ascii="Calibri" w:eastAsia="Calibri" w:hAnsi="Calibri" w:cs="Calibri"/>
                <w:color w:val="000000"/>
                <w:sz w:val="20"/>
                <w:szCs w:val="20"/>
              </w:rPr>
              <w:t>732,000</w:t>
            </w:r>
          </w:p>
        </w:tc>
        <w:tc>
          <w:tcPr>
            <w:tcW w:w="1000" w:type="pct"/>
            <w:shd w:val="clear" w:color="auto" w:fill="FFFFFF"/>
            <w:tcMar>
              <w:top w:w="75" w:type="dxa"/>
              <w:left w:w="105" w:type="dxa"/>
              <w:bottom w:w="75" w:type="dxa"/>
              <w:right w:w="105" w:type="dxa"/>
            </w:tcMar>
          </w:tcPr>
          <w:p w14:paraId="535E9FCC" w14:textId="77777777" w:rsidR="00CC3B7D" w:rsidRDefault="007B010E">
            <w:r>
              <w:rPr>
                <w:rFonts w:ascii="Calibri" w:eastAsia="Calibri" w:hAnsi="Calibri" w:cs="Calibri"/>
                <w:color w:val="000000"/>
                <w:sz w:val="20"/>
                <w:szCs w:val="20"/>
              </w:rPr>
              <w:t>517,000</w:t>
            </w:r>
          </w:p>
        </w:tc>
        <w:tc>
          <w:tcPr>
            <w:tcW w:w="1000" w:type="pct"/>
            <w:shd w:val="clear" w:color="auto" w:fill="FFFFFF"/>
            <w:tcMar>
              <w:top w:w="75" w:type="dxa"/>
              <w:left w:w="105" w:type="dxa"/>
              <w:bottom w:w="75" w:type="dxa"/>
              <w:right w:w="105" w:type="dxa"/>
            </w:tcMar>
          </w:tcPr>
          <w:p w14:paraId="535E9FCD" w14:textId="77777777" w:rsidR="00CC3B7D" w:rsidRDefault="007B010E">
            <w:r>
              <w:rPr>
                <w:rFonts w:ascii="Calibri" w:eastAsia="Calibri" w:hAnsi="Calibri" w:cs="Calibri"/>
                <w:color w:val="000000"/>
                <w:sz w:val="20"/>
                <w:szCs w:val="20"/>
              </w:rPr>
              <w:t>215,000</w:t>
            </w:r>
          </w:p>
        </w:tc>
        <w:tc>
          <w:tcPr>
            <w:tcW w:w="1000" w:type="pct"/>
            <w:shd w:val="clear" w:color="auto" w:fill="FFFFFF"/>
            <w:tcMar>
              <w:top w:w="75" w:type="dxa"/>
              <w:left w:w="105" w:type="dxa"/>
              <w:bottom w:w="75" w:type="dxa"/>
              <w:right w:w="105" w:type="dxa"/>
            </w:tcMar>
          </w:tcPr>
          <w:p w14:paraId="535E9FCE" w14:textId="77777777" w:rsidR="00CC3B7D" w:rsidRDefault="00CC3B7D"/>
        </w:tc>
      </w:tr>
      <w:tr w:rsidR="00CC3B7D" w14:paraId="535E9FD5" w14:textId="77777777">
        <w:tblPrEx>
          <w:tblCellMar>
            <w:top w:w="0" w:type="dxa"/>
            <w:bottom w:w="0" w:type="dxa"/>
          </w:tblCellMar>
        </w:tblPrEx>
        <w:tc>
          <w:tcPr>
            <w:tcW w:w="1000" w:type="pct"/>
            <w:shd w:val="clear" w:color="auto" w:fill="FFFFFF"/>
            <w:tcMar>
              <w:top w:w="75" w:type="dxa"/>
              <w:left w:w="105" w:type="dxa"/>
              <w:bottom w:w="75" w:type="dxa"/>
              <w:right w:w="105" w:type="dxa"/>
            </w:tcMar>
          </w:tcPr>
          <w:p w14:paraId="535E9FD0" w14:textId="77777777" w:rsidR="00CC3B7D" w:rsidRDefault="007B010E">
            <w:r>
              <w:rPr>
                <w:rFonts w:ascii="Calibri" w:eastAsia="Calibri" w:hAnsi="Calibri" w:cs="Calibri"/>
                <w:b/>
                <w:bCs/>
                <w:color w:val="000000"/>
                <w:sz w:val="22"/>
                <w:szCs w:val="22"/>
              </w:rPr>
              <w:t>2037</w:t>
            </w:r>
          </w:p>
        </w:tc>
        <w:tc>
          <w:tcPr>
            <w:tcW w:w="1000" w:type="pct"/>
            <w:shd w:val="clear" w:color="auto" w:fill="FFFFFF"/>
            <w:tcMar>
              <w:top w:w="75" w:type="dxa"/>
              <w:left w:w="105" w:type="dxa"/>
              <w:bottom w:w="75" w:type="dxa"/>
              <w:right w:w="105" w:type="dxa"/>
            </w:tcMar>
          </w:tcPr>
          <w:p w14:paraId="535E9FD1" w14:textId="77777777" w:rsidR="00CC3B7D" w:rsidRDefault="007B010E">
            <w:r>
              <w:rPr>
                <w:rFonts w:ascii="Calibri" w:eastAsia="Calibri" w:hAnsi="Calibri" w:cs="Calibri"/>
                <w:b/>
                <w:bCs/>
                <w:color w:val="000000"/>
                <w:sz w:val="22"/>
                <w:szCs w:val="22"/>
              </w:rPr>
              <w:t>759,000</w:t>
            </w:r>
          </w:p>
        </w:tc>
        <w:tc>
          <w:tcPr>
            <w:tcW w:w="1000" w:type="pct"/>
            <w:shd w:val="clear" w:color="auto" w:fill="FFFFFF"/>
            <w:tcMar>
              <w:top w:w="75" w:type="dxa"/>
              <w:left w:w="105" w:type="dxa"/>
              <w:bottom w:w="75" w:type="dxa"/>
              <w:right w:w="105" w:type="dxa"/>
            </w:tcMar>
          </w:tcPr>
          <w:p w14:paraId="535E9FD2" w14:textId="77777777" w:rsidR="00CC3B7D" w:rsidRDefault="007B010E">
            <w:r>
              <w:rPr>
                <w:rFonts w:ascii="Calibri" w:eastAsia="Calibri" w:hAnsi="Calibri" w:cs="Calibri"/>
                <w:b/>
                <w:bCs/>
                <w:color w:val="000000"/>
                <w:sz w:val="22"/>
                <w:szCs w:val="22"/>
              </w:rPr>
              <w:t>517,000</w:t>
            </w:r>
          </w:p>
        </w:tc>
        <w:tc>
          <w:tcPr>
            <w:tcW w:w="1000" w:type="pct"/>
            <w:shd w:val="clear" w:color="auto" w:fill="FFFFFF"/>
            <w:tcMar>
              <w:top w:w="75" w:type="dxa"/>
              <w:left w:w="105" w:type="dxa"/>
              <w:bottom w:w="75" w:type="dxa"/>
              <w:right w:w="105" w:type="dxa"/>
            </w:tcMar>
          </w:tcPr>
          <w:p w14:paraId="535E9FD3" w14:textId="77777777" w:rsidR="00CC3B7D" w:rsidRDefault="007B010E">
            <w:r>
              <w:rPr>
                <w:rFonts w:ascii="Calibri" w:eastAsia="Calibri" w:hAnsi="Calibri" w:cs="Calibri"/>
                <w:b/>
                <w:bCs/>
                <w:color w:val="000000"/>
                <w:sz w:val="22"/>
                <w:szCs w:val="22"/>
              </w:rPr>
              <w:t>242,000</w:t>
            </w:r>
          </w:p>
        </w:tc>
        <w:tc>
          <w:tcPr>
            <w:tcW w:w="1000" w:type="pct"/>
            <w:shd w:val="clear" w:color="auto" w:fill="FFFFFF"/>
            <w:tcMar>
              <w:top w:w="75" w:type="dxa"/>
              <w:left w:w="105" w:type="dxa"/>
              <w:bottom w:w="75" w:type="dxa"/>
              <w:right w:w="105" w:type="dxa"/>
            </w:tcMar>
          </w:tcPr>
          <w:p w14:paraId="535E9FD4" w14:textId="77777777" w:rsidR="00CC3B7D" w:rsidRDefault="007B010E">
            <w:r>
              <w:rPr>
                <w:rFonts w:ascii="Calibri" w:eastAsia="Calibri" w:hAnsi="Calibri" w:cs="Calibri"/>
                <w:color w:val="000000"/>
                <w:sz w:val="20"/>
                <w:szCs w:val="20"/>
              </w:rPr>
              <w:t>Full constraint saturation</w:t>
            </w:r>
          </w:p>
        </w:tc>
      </w:tr>
    </w:tbl>
    <w:p w14:paraId="535E9FD6" w14:textId="77777777" w:rsidR="00CC3B7D" w:rsidRDefault="00CC3B7D">
      <w:pPr>
        <w:spacing w:after="200"/>
      </w:pPr>
    </w:p>
    <w:p w14:paraId="535E9FD7" w14:textId="77777777" w:rsidR="00CC3B7D" w:rsidRDefault="007B010E">
      <w:pPr>
        <w:spacing w:before="60" w:after="120" w:line="360" w:lineRule="auto"/>
      </w:pPr>
      <w:r>
        <w:rPr>
          <w:rFonts w:ascii="Calibri" w:eastAsia="Calibri" w:hAnsi="Calibri" w:cs="Calibri"/>
          <w:color w:val="000000"/>
          <w:sz w:val="22"/>
          <w:szCs w:val="22"/>
        </w:rPr>
        <w:t xml:space="preserve">By 2037, the unconstrained demand forecast exceeds current infrastructure capacity by approximately 242,000 annual operations — roughly equivalent to 51% of today's total operation count. The </w:t>
      </w:r>
      <w:r>
        <w:rPr>
          <w:rFonts w:ascii="Calibri" w:eastAsia="Calibri" w:hAnsi="Calibri" w:cs="Calibri"/>
          <w:color w:val="000000"/>
          <w:sz w:val="22"/>
          <w:szCs w:val="22"/>
        </w:rPr>
        <w:lastRenderedPageBreak/>
        <w:t>constrained scenario illustrates a plateau beginning around 2032–2033, as gate saturation and sustained peak-hour runway utilization prevent further throughput growth without new infrastructure. This planning gap is the central problem the white paper series is designed to address.</w:t>
      </w:r>
    </w:p>
    <w:p w14:paraId="535E9FD8" w14:textId="77777777" w:rsidR="00CC3B7D" w:rsidRDefault="007B010E">
      <w:pPr>
        <w:pStyle w:val="Heading1"/>
        <w:spacing w:before="360" w:after="80" w:line="312" w:lineRule="auto"/>
      </w:pPr>
      <w:r>
        <w:rPr>
          <w:rFonts w:ascii="Calibri" w:eastAsia="Calibri" w:hAnsi="Calibri" w:cs="Calibri"/>
          <w:color w:val="1A1A1A"/>
          <w:sz w:val="40"/>
          <w:szCs w:val="40"/>
        </w:rPr>
        <w:t>Section 9 – Methodology Notes</w:t>
      </w:r>
    </w:p>
    <w:p w14:paraId="535E9FD9" w14:textId="77777777" w:rsidR="00CC3B7D" w:rsidRDefault="007B010E">
      <w:pPr>
        <w:pStyle w:val="ListParagraph"/>
        <w:numPr>
          <w:ilvl w:val="0"/>
          <w:numId w:val="2"/>
        </w:numPr>
        <w:spacing w:after="60" w:line="408" w:lineRule="auto"/>
      </w:pPr>
      <w:r>
        <w:rPr>
          <w:rFonts w:ascii="Calibri" w:eastAsia="Calibri" w:hAnsi="Calibri" w:cs="Calibri"/>
          <w:color w:val="000000"/>
          <w:sz w:val="22"/>
          <w:szCs w:val="22"/>
        </w:rPr>
        <w:t>All hourly capacity values are expressed in aircraft operations per hour (arrivals plus departures combined unless stated separately).</w:t>
      </w:r>
    </w:p>
    <w:p w14:paraId="535E9FDA" w14:textId="77777777" w:rsidR="00CC3B7D" w:rsidRDefault="007B010E">
      <w:pPr>
        <w:pStyle w:val="ListParagraph"/>
        <w:numPr>
          <w:ilvl w:val="0"/>
          <w:numId w:val="2"/>
        </w:numPr>
        <w:spacing w:after="60" w:line="408" w:lineRule="auto"/>
      </w:pPr>
      <w:r>
        <w:rPr>
          <w:rFonts w:ascii="Calibri" w:eastAsia="Calibri" w:hAnsi="Calibri" w:cs="Calibri"/>
          <w:color w:val="000000"/>
          <w:sz w:val="22"/>
          <w:szCs w:val="22"/>
        </w:rPr>
        <w:t>FAA 2016 Capacity Benchmark data is sourced from the FAA Capacity Needs in the National Airspace System study and the Airport Capacity Benchmark Report.</w:t>
      </w:r>
    </w:p>
    <w:p w14:paraId="535E9FDB" w14:textId="77777777" w:rsidR="00CC3B7D" w:rsidRDefault="007B010E">
      <w:pPr>
        <w:pStyle w:val="ListParagraph"/>
        <w:numPr>
          <w:ilvl w:val="0"/>
          <w:numId w:val="2"/>
        </w:numPr>
        <w:spacing w:after="60" w:line="408" w:lineRule="auto"/>
      </w:pPr>
      <w:r>
        <w:rPr>
          <w:rFonts w:ascii="Calibri" w:eastAsia="Calibri" w:hAnsi="Calibri" w:cs="Calibri"/>
          <w:color w:val="000000"/>
          <w:sz w:val="22"/>
          <w:szCs w:val="22"/>
        </w:rPr>
        <w:t>Observed 2024–2026 throughput is drawn from FAA ASPM database exports and BTS Form 41 T-100 segment data.</w:t>
      </w:r>
    </w:p>
    <w:p w14:paraId="535E9FDC" w14:textId="77777777" w:rsidR="00CC3B7D" w:rsidRDefault="007B010E">
      <w:pPr>
        <w:pStyle w:val="ListParagraph"/>
        <w:numPr>
          <w:ilvl w:val="0"/>
          <w:numId w:val="2"/>
        </w:numPr>
        <w:spacing w:after="60" w:line="408" w:lineRule="auto"/>
      </w:pPr>
      <w:r>
        <w:rPr>
          <w:rFonts w:ascii="Calibri" w:eastAsia="Calibri" w:hAnsi="Calibri" w:cs="Calibri"/>
          <w:color w:val="000000"/>
          <w:sz w:val="22"/>
          <w:szCs w:val="22"/>
        </w:rPr>
        <w:t>Capacity improvement figures for TBFM and Reduced Diagonal Spacing are sourced from the FAA Airport Capacity Profile for SEA and FAA ASPM database analysis. TSAS is treated as a future improvement and is not included in baseline or projected capacity calculations.</w:t>
      </w:r>
    </w:p>
    <w:p w14:paraId="535E9FDD" w14:textId="77777777" w:rsidR="00CC3B7D" w:rsidRDefault="007B010E">
      <w:pPr>
        <w:pStyle w:val="ListParagraph"/>
        <w:numPr>
          <w:ilvl w:val="0"/>
          <w:numId w:val="2"/>
        </w:numPr>
        <w:spacing w:after="60" w:line="408" w:lineRule="auto"/>
      </w:pPr>
      <w:r>
        <w:rPr>
          <w:rFonts w:ascii="Calibri" w:eastAsia="Calibri" w:hAnsi="Calibri" w:cs="Calibri"/>
          <w:color w:val="000000"/>
          <w:sz w:val="22"/>
          <w:szCs w:val="22"/>
        </w:rPr>
        <w:t>Annual operations translation uses the standard FAA planning methodology as described in FAA Order 5090.3C (Field Formulation of the NPIAS).</w:t>
      </w:r>
    </w:p>
    <w:p w14:paraId="535E9FDE" w14:textId="77777777" w:rsidR="00CC3B7D" w:rsidRDefault="007B010E">
      <w:pPr>
        <w:pStyle w:val="ListParagraph"/>
        <w:numPr>
          <w:ilvl w:val="0"/>
          <w:numId w:val="2"/>
        </w:numPr>
        <w:spacing w:after="60" w:line="408" w:lineRule="auto"/>
      </w:pPr>
      <w:r>
        <w:rPr>
          <w:rFonts w:ascii="Calibri" w:eastAsia="Calibri" w:hAnsi="Calibri" w:cs="Calibri"/>
          <w:color w:val="000000"/>
          <w:sz w:val="22"/>
          <w:szCs w:val="22"/>
        </w:rPr>
        <w:t>Projection growth rates are derived from the FAA Terminal Area Forecast (TAF) 2024 edition, applied to a SEA-specific demand model maintained by the Port of Seattle Aviation Planning Division.</w:t>
      </w:r>
    </w:p>
    <w:p w14:paraId="535E9FDF" w14:textId="77777777" w:rsidR="00CC3B7D" w:rsidRDefault="007B010E">
      <w:pPr>
        <w:pStyle w:val="ListParagraph"/>
        <w:numPr>
          <w:ilvl w:val="0"/>
          <w:numId w:val="2"/>
        </w:numPr>
        <w:spacing w:after="60" w:line="408" w:lineRule="auto"/>
      </w:pPr>
      <w:r>
        <w:rPr>
          <w:rFonts w:ascii="Calibri" w:eastAsia="Calibri" w:hAnsi="Calibri" w:cs="Calibri"/>
          <w:color w:val="000000"/>
          <w:sz w:val="22"/>
          <w:szCs w:val="22"/>
        </w:rPr>
        <w:t>The constrained capacity ceiling is defined as the maximum sustained annual operations achievable without new runway construction, major apron expansion, or significant gate infrastructure additions.</w:t>
      </w:r>
    </w:p>
    <w:p w14:paraId="535E9FE0" w14:textId="77777777" w:rsidR="00CC3B7D" w:rsidRDefault="007B010E">
      <w:pPr>
        <w:pStyle w:val="ListParagraph"/>
        <w:numPr>
          <w:ilvl w:val="0"/>
          <w:numId w:val="2"/>
        </w:numPr>
        <w:spacing w:after="60" w:line="408" w:lineRule="auto"/>
      </w:pPr>
      <w:r>
        <w:rPr>
          <w:rFonts w:ascii="Calibri" w:eastAsia="Calibri" w:hAnsi="Calibri" w:cs="Calibri"/>
          <w:color w:val="000000"/>
          <w:sz w:val="22"/>
          <w:szCs w:val="22"/>
        </w:rPr>
        <w:t>All figures are rounded to the nearest 1,000 operations for annual projections and to the nearest whole number for hourly rates.</w:t>
      </w:r>
    </w:p>
    <w:p w14:paraId="535E9FE1" w14:textId="77777777" w:rsidR="00CC3B7D" w:rsidRDefault="007B010E">
      <w:pPr>
        <w:pStyle w:val="Heading1"/>
        <w:spacing w:before="360" w:after="80" w:line="312" w:lineRule="auto"/>
      </w:pPr>
      <w:r>
        <w:rPr>
          <w:rFonts w:ascii="Calibri" w:eastAsia="Calibri" w:hAnsi="Calibri" w:cs="Calibri"/>
          <w:color w:val="1A1A1A"/>
          <w:sz w:val="40"/>
          <w:szCs w:val="40"/>
        </w:rPr>
        <w:t>Section 10 – Assumptions</w:t>
      </w:r>
    </w:p>
    <w:p w14:paraId="535E9FE2" w14:textId="77777777" w:rsidR="00CC3B7D" w:rsidRDefault="007B010E">
      <w:pPr>
        <w:pStyle w:val="ListParagraph"/>
        <w:numPr>
          <w:ilvl w:val="0"/>
          <w:numId w:val="1"/>
        </w:numPr>
        <w:spacing w:after="60" w:line="408" w:lineRule="auto"/>
      </w:pPr>
      <w:r>
        <w:rPr>
          <w:rFonts w:ascii="Calibri" w:eastAsia="Calibri" w:hAnsi="Calibri" w:cs="Calibri"/>
          <w:color w:val="000000"/>
          <w:sz w:val="22"/>
          <w:szCs w:val="22"/>
        </w:rPr>
        <w:t>Aircraft mix remains broadly consistent with the 2024 fleet (narrowbody-dominant: approximately 75% narrowbody, 20% widebody, 5% regional jet).</w:t>
      </w:r>
    </w:p>
    <w:p w14:paraId="535E9FE3" w14:textId="77777777" w:rsidR="00CC3B7D" w:rsidRDefault="007B010E">
      <w:pPr>
        <w:pStyle w:val="ListParagraph"/>
        <w:numPr>
          <w:ilvl w:val="0"/>
          <w:numId w:val="1"/>
        </w:numPr>
        <w:spacing w:after="60" w:line="408" w:lineRule="auto"/>
      </w:pPr>
      <w:r>
        <w:rPr>
          <w:rFonts w:ascii="Calibri" w:eastAsia="Calibri" w:hAnsi="Calibri" w:cs="Calibri"/>
          <w:color w:val="000000"/>
          <w:sz w:val="22"/>
          <w:szCs w:val="22"/>
        </w:rPr>
        <w:lastRenderedPageBreak/>
        <w:t>No new runway construction occurs within the projection period (2024–2037).</w:t>
      </w:r>
    </w:p>
    <w:p w14:paraId="535E9FE4" w14:textId="77777777" w:rsidR="00CC3B7D" w:rsidRDefault="007B010E">
      <w:pPr>
        <w:pStyle w:val="ListParagraph"/>
        <w:numPr>
          <w:ilvl w:val="0"/>
          <w:numId w:val="1"/>
        </w:numPr>
        <w:spacing w:after="60" w:line="408" w:lineRule="auto"/>
      </w:pPr>
      <w:r>
        <w:rPr>
          <w:rFonts w:ascii="Calibri" w:eastAsia="Calibri" w:hAnsi="Calibri" w:cs="Calibri"/>
          <w:color w:val="000000"/>
          <w:sz w:val="22"/>
          <w:szCs w:val="22"/>
        </w:rPr>
        <w:t xml:space="preserve">TSAS has not yet been deployed at SEA and is not assumed in any baseline or projected scenario; capacity projections reflect only </w:t>
      </w:r>
      <w:proofErr w:type="gramStart"/>
      <w:r>
        <w:rPr>
          <w:rFonts w:ascii="Calibri" w:eastAsia="Calibri" w:hAnsi="Calibri" w:cs="Calibri"/>
          <w:color w:val="000000"/>
          <w:sz w:val="22"/>
          <w:szCs w:val="22"/>
        </w:rPr>
        <w:t>currently</w:t>
      </w:r>
      <w:proofErr w:type="gramEnd"/>
      <w:r>
        <w:rPr>
          <w:rFonts w:ascii="Calibri" w:eastAsia="Calibri" w:hAnsi="Calibri" w:cs="Calibri"/>
          <w:color w:val="000000"/>
          <w:sz w:val="22"/>
          <w:szCs w:val="22"/>
        </w:rPr>
        <w:t xml:space="preserve"> operational improvements (TBFM and Reduced Diagonal Spacing).</w:t>
      </w:r>
    </w:p>
    <w:p w14:paraId="535E9FE5" w14:textId="77777777" w:rsidR="00CC3B7D" w:rsidRDefault="007B010E">
      <w:pPr>
        <w:pStyle w:val="ListParagraph"/>
        <w:numPr>
          <w:ilvl w:val="0"/>
          <w:numId w:val="1"/>
        </w:numPr>
        <w:spacing w:after="60" w:line="408" w:lineRule="auto"/>
      </w:pPr>
      <w:r>
        <w:rPr>
          <w:rFonts w:ascii="Calibri" w:eastAsia="Calibri" w:hAnsi="Calibri" w:cs="Calibri"/>
          <w:color w:val="000000"/>
          <w:sz w:val="22"/>
          <w:szCs w:val="22"/>
        </w:rPr>
        <w:t>Weather distribution (VMC/IMC split) remains consistent with the 10-year historical average (approximately 70% VMC, 30% IMC).</w:t>
      </w:r>
    </w:p>
    <w:p w14:paraId="535E9FE6" w14:textId="77777777" w:rsidR="00CC3B7D" w:rsidRDefault="007B010E">
      <w:pPr>
        <w:pStyle w:val="ListParagraph"/>
        <w:numPr>
          <w:ilvl w:val="0"/>
          <w:numId w:val="1"/>
        </w:numPr>
        <w:spacing w:after="60" w:line="408" w:lineRule="auto"/>
      </w:pPr>
      <w:r>
        <w:rPr>
          <w:rFonts w:ascii="Calibri" w:eastAsia="Calibri" w:hAnsi="Calibri" w:cs="Calibri"/>
          <w:color w:val="000000"/>
          <w:sz w:val="22"/>
          <w:szCs w:val="22"/>
        </w:rPr>
        <w:t>No extraordinary demand-deflating events — such as prolonged economic recession or public health emergencies — occur beyond modeled variability ranges.</w:t>
      </w:r>
    </w:p>
    <w:p w14:paraId="535E9FE7" w14:textId="77777777" w:rsidR="00CC3B7D" w:rsidRDefault="007B010E">
      <w:pPr>
        <w:pStyle w:val="ListParagraph"/>
        <w:numPr>
          <w:ilvl w:val="0"/>
          <w:numId w:val="1"/>
        </w:numPr>
        <w:spacing w:after="60" w:line="408" w:lineRule="auto"/>
      </w:pPr>
      <w:r>
        <w:rPr>
          <w:rFonts w:ascii="Calibri" w:eastAsia="Calibri" w:hAnsi="Calibri" w:cs="Calibri"/>
          <w:color w:val="000000"/>
          <w:sz w:val="22"/>
          <w:szCs w:val="22"/>
        </w:rPr>
        <w:t>FAA staffing levels and ATC operational procedures remain at or above 2024 performance levels throughout the projection period.</w:t>
      </w:r>
    </w:p>
    <w:p w14:paraId="535E9FE8" w14:textId="77777777" w:rsidR="00CC3B7D" w:rsidRDefault="007B010E">
      <w:pPr>
        <w:pStyle w:val="ListParagraph"/>
        <w:numPr>
          <w:ilvl w:val="0"/>
          <w:numId w:val="1"/>
        </w:numPr>
        <w:spacing w:after="60" w:line="408" w:lineRule="auto"/>
      </w:pPr>
      <w:r>
        <w:rPr>
          <w:rFonts w:ascii="Calibri" w:eastAsia="Calibri" w:hAnsi="Calibri" w:cs="Calibri"/>
          <w:color w:val="000000"/>
          <w:sz w:val="22"/>
          <w:szCs w:val="22"/>
        </w:rPr>
        <w:t>Gate utilization rates follow current Port of Seattle published gate assignment practices, with no assumed expansion of gate count in the constrained scenario.</w:t>
      </w:r>
    </w:p>
    <w:p w14:paraId="535E9FE9" w14:textId="77777777" w:rsidR="00CC3B7D" w:rsidRDefault="007B010E">
      <w:pPr>
        <w:pStyle w:val="ListParagraph"/>
        <w:numPr>
          <w:ilvl w:val="0"/>
          <w:numId w:val="1"/>
        </w:numPr>
        <w:spacing w:after="60" w:line="408" w:lineRule="auto"/>
      </w:pPr>
      <w:r>
        <w:rPr>
          <w:rFonts w:ascii="Calibri" w:eastAsia="Calibri" w:hAnsi="Calibri" w:cs="Calibri"/>
          <w:color w:val="000000"/>
          <w:sz w:val="22"/>
          <w:szCs w:val="22"/>
        </w:rPr>
        <w:t>Growth rates from FAA TAF 2024 are treated as central-case estimates; sensitivity ranges are addressed separately in the main white paper body.</w:t>
      </w:r>
    </w:p>
    <w:p w14:paraId="535E9FEA" w14:textId="77777777" w:rsidR="00CC3B7D" w:rsidRDefault="00CC3B7D">
      <w:pPr>
        <w:pBdr>
          <w:bottom w:val="single" w:sz="6" w:space="0" w:color="7F9FBF"/>
        </w:pBdr>
        <w:spacing w:before="240" w:after="240"/>
      </w:pPr>
    </w:p>
    <w:p w14:paraId="535E9FEB" w14:textId="77777777" w:rsidR="00CC3B7D" w:rsidRDefault="007B010E">
      <w:pPr>
        <w:spacing w:after="240" w:line="360" w:lineRule="auto"/>
        <w:jc w:val="center"/>
      </w:pPr>
      <w:r>
        <w:rPr>
          <w:rFonts w:ascii="Calibri" w:eastAsia="Calibri" w:hAnsi="Calibri" w:cs="Calibri"/>
          <w:color w:val="5A6E82"/>
          <w:sz w:val="17"/>
          <w:szCs w:val="17"/>
        </w:rPr>
        <w:t xml:space="preserve">Technical Appendix – SEA Airport Capacity </w:t>
      </w:r>
      <w:proofErr w:type="gramStart"/>
      <w:r>
        <w:rPr>
          <w:rFonts w:ascii="Calibri" w:eastAsia="Calibri" w:hAnsi="Calibri" w:cs="Calibri"/>
          <w:color w:val="5A6E82"/>
          <w:sz w:val="17"/>
          <w:szCs w:val="17"/>
        </w:rPr>
        <w:t>Analysis  |</w:t>
      </w:r>
      <w:proofErr w:type="gramEnd"/>
      <w:r>
        <w:rPr>
          <w:rFonts w:ascii="Calibri" w:eastAsia="Calibri" w:hAnsi="Calibri" w:cs="Calibri"/>
          <w:color w:val="5A6E82"/>
          <w:sz w:val="17"/>
          <w:szCs w:val="17"/>
        </w:rPr>
        <w:t xml:space="preserve">  Jeffery </w:t>
      </w:r>
      <w:proofErr w:type="gramStart"/>
      <w:r>
        <w:rPr>
          <w:rFonts w:ascii="Calibri" w:eastAsia="Calibri" w:hAnsi="Calibri" w:cs="Calibri"/>
          <w:color w:val="5A6E82"/>
          <w:sz w:val="17"/>
          <w:szCs w:val="17"/>
        </w:rPr>
        <w:t>Bogen  |</w:t>
      </w:r>
      <w:proofErr w:type="gramEnd"/>
      <w:r>
        <w:rPr>
          <w:rFonts w:ascii="Calibri" w:eastAsia="Calibri" w:hAnsi="Calibri" w:cs="Calibri"/>
          <w:color w:val="5A6E82"/>
          <w:sz w:val="17"/>
          <w:szCs w:val="17"/>
        </w:rPr>
        <w:t xml:space="preserve">  May 28, </w:t>
      </w:r>
      <w:proofErr w:type="gramStart"/>
      <w:r>
        <w:rPr>
          <w:rFonts w:ascii="Calibri" w:eastAsia="Calibri" w:hAnsi="Calibri" w:cs="Calibri"/>
          <w:color w:val="5A6E82"/>
          <w:sz w:val="17"/>
          <w:szCs w:val="17"/>
        </w:rPr>
        <w:t>2026  |</w:t>
      </w:r>
      <w:proofErr w:type="gramEnd"/>
      <w:r>
        <w:rPr>
          <w:rFonts w:ascii="Calibri" w:eastAsia="Calibri" w:hAnsi="Calibri" w:cs="Calibri"/>
          <w:color w:val="5A6E82"/>
          <w:sz w:val="17"/>
          <w:szCs w:val="17"/>
        </w:rPr>
        <w:t xml:space="preserve">  Port of Seattle / Aviation Planning Division</w:t>
      </w:r>
    </w:p>
    <w:p w14:paraId="535E9FEC" w14:textId="77777777" w:rsidR="00CC3B7D" w:rsidRDefault="00CC3B7D">
      <w:pPr>
        <w:pBdr>
          <w:bottom w:val="single" w:sz="6" w:space="0" w:color="000000"/>
        </w:pBdr>
        <w:spacing w:before="240" w:after="240"/>
      </w:pPr>
    </w:p>
    <w:p w14:paraId="535E9FED" w14:textId="77777777" w:rsidR="00CC3B7D" w:rsidRDefault="007B010E">
      <w:pPr>
        <w:pStyle w:val="Heading1"/>
        <w:spacing w:before="360" w:after="80" w:line="312" w:lineRule="auto"/>
      </w:pPr>
      <w:r>
        <w:rPr>
          <w:rFonts w:ascii="Calibri" w:eastAsia="Calibri" w:hAnsi="Calibri" w:cs="Calibri"/>
          <w:color w:val="1A1A1A"/>
          <w:sz w:val="40"/>
          <w:szCs w:val="40"/>
        </w:rPr>
        <w:t>Section 11 – Data Sources</w:t>
      </w:r>
    </w:p>
    <w:p w14:paraId="535E9FEE" w14:textId="77777777" w:rsidR="00CC3B7D" w:rsidRDefault="007B010E">
      <w:pPr>
        <w:spacing w:after="60" w:line="360" w:lineRule="auto"/>
      </w:pPr>
      <w:r>
        <w:rPr>
          <w:rFonts w:ascii="Calibri" w:eastAsia="Calibri" w:hAnsi="Calibri" w:cs="Calibri"/>
          <w:b/>
          <w:bCs/>
          <w:color w:val="1E3A6E"/>
          <w:sz w:val="20"/>
          <w:szCs w:val="20"/>
        </w:rPr>
        <w:t>Table 11-1: Data Sources</w:t>
      </w:r>
    </w:p>
    <w:p w14:paraId="535E9FEF"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2337"/>
        <w:gridCol w:w="2337"/>
        <w:gridCol w:w="2338"/>
        <w:gridCol w:w="2338"/>
      </w:tblGrid>
      <w:tr w:rsidR="00CC3B7D" w14:paraId="535E9FF4" w14:textId="77777777">
        <w:tblPrEx>
          <w:tblCellMar>
            <w:top w:w="0" w:type="dxa"/>
            <w:bottom w:w="0" w:type="dxa"/>
          </w:tblCellMar>
        </w:tblPrEx>
        <w:trPr>
          <w:tblHeader/>
        </w:trPr>
        <w:tc>
          <w:tcPr>
            <w:tcW w:w="1250" w:type="pct"/>
            <w:shd w:val="clear" w:color="auto" w:fill="CCD9EA"/>
            <w:tcMar>
              <w:top w:w="75" w:type="dxa"/>
              <w:left w:w="105" w:type="dxa"/>
              <w:bottom w:w="75" w:type="dxa"/>
              <w:right w:w="105" w:type="dxa"/>
            </w:tcMar>
          </w:tcPr>
          <w:p w14:paraId="535E9FF0" w14:textId="77777777" w:rsidR="00CC3B7D" w:rsidRDefault="007B010E">
            <w:r>
              <w:rPr>
                <w:rFonts w:ascii="Calibri" w:eastAsia="Calibri" w:hAnsi="Calibri" w:cs="Calibri"/>
                <w:b/>
                <w:bCs/>
                <w:color w:val="0D2240"/>
                <w:sz w:val="20"/>
                <w:szCs w:val="20"/>
              </w:rPr>
              <w:t>Source</w:t>
            </w:r>
          </w:p>
        </w:tc>
        <w:tc>
          <w:tcPr>
            <w:tcW w:w="1250" w:type="pct"/>
            <w:shd w:val="clear" w:color="auto" w:fill="CCD9EA"/>
            <w:tcMar>
              <w:top w:w="75" w:type="dxa"/>
              <w:left w:w="105" w:type="dxa"/>
              <w:bottom w:w="75" w:type="dxa"/>
              <w:right w:w="105" w:type="dxa"/>
            </w:tcMar>
          </w:tcPr>
          <w:p w14:paraId="535E9FF1" w14:textId="77777777" w:rsidR="00CC3B7D" w:rsidRDefault="007B010E">
            <w:r>
              <w:rPr>
                <w:rFonts w:ascii="Calibri" w:eastAsia="Calibri" w:hAnsi="Calibri" w:cs="Calibri"/>
                <w:b/>
                <w:bCs/>
                <w:color w:val="0D2240"/>
                <w:sz w:val="20"/>
                <w:szCs w:val="20"/>
              </w:rPr>
              <w:t>Description</w:t>
            </w:r>
          </w:p>
        </w:tc>
        <w:tc>
          <w:tcPr>
            <w:tcW w:w="1250" w:type="pct"/>
            <w:shd w:val="clear" w:color="auto" w:fill="CCD9EA"/>
            <w:tcMar>
              <w:top w:w="75" w:type="dxa"/>
              <w:left w:w="105" w:type="dxa"/>
              <w:bottom w:w="75" w:type="dxa"/>
              <w:right w:w="105" w:type="dxa"/>
            </w:tcMar>
          </w:tcPr>
          <w:p w14:paraId="535E9FF2" w14:textId="77777777" w:rsidR="00CC3B7D" w:rsidRDefault="007B010E">
            <w:r>
              <w:rPr>
                <w:rFonts w:ascii="Calibri" w:eastAsia="Calibri" w:hAnsi="Calibri" w:cs="Calibri"/>
                <w:b/>
                <w:bCs/>
                <w:color w:val="0D2240"/>
                <w:sz w:val="20"/>
                <w:szCs w:val="20"/>
              </w:rPr>
              <w:t>Year</w:t>
            </w:r>
          </w:p>
        </w:tc>
        <w:tc>
          <w:tcPr>
            <w:tcW w:w="1250" w:type="pct"/>
            <w:shd w:val="clear" w:color="auto" w:fill="CCD9EA"/>
            <w:tcMar>
              <w:top w:w="75" w:type="dxa"/>
              <w:left w:w="105" w:type="dxa"/>
              <w:bottom w:w="75" w:type="dxa"/>
              <w:right w:w="105" w:type="dxa"/>
            </w:tcMar>
          </w:tcPr>
          <w:p w14:paraId="535E9FF3" w14:textId="77777777" w:rsidR="00CC3B7D" w:rsidRDefault="007B010E">
            <w:r>
              <w:rPr>
                <w:rFonts w:ascii="Calibri" w:eastAsia="Calibri" w:hAnsi="Calibri" w:cs="Calibri"/>
                <w:b/>
                <w:bCs/>
                <w:color w:val="0D2240"/>
                <w:sz w:val="20"/>
                <w:szCs w:val="20"/>
              </w:rPr>
              <w:t>Use in Analysis</w:t>
            </w:r>
          </w:p>
        </w:tc>
      </w:tr>
      <w:tr w:rsidR="00CC3B7D" w14:paraId="535E9FF9" w14:textId="77777777">
        <w:tblPrEx>
          <w:tblCellMar>
            <w:top w:w="0" w:type="dxa"/>
            <w:bottom w:w="0" w:type="dxa"/>
          </w:tblCellMar>
        </w:tblPrEx>
        <w:tc>
          <w:tcPr>
            <w:tcW w:w="1250" w:type="pct"/>
            <w:shd w:val="clear" w:color="auto" w:fill="FFFFFF"/>
            <w:tcMar>
              <w:top w:w="75" w:type="dxa"/>
              <w:left w:w="105" w:type="dxa"/>
              <w:bottom w:w="75" w:type="dxa"/>
              <w:right w:w="105" w:type="dxa"/>
            </w:tcMar>
          </w:tcPr>
          <w:p w14:paraId="535E9FF5" w14:textId="77777777" w:rsidR="00CC3B7D" w:rsidRDefault="007B010E">
            <w:r>
              <w:rPr>
                <w:rFonts w:ascii="Calibri" w:eastAsia="Calibri" w:hAnsi="Calibri" w:cs="Calibri"/>
                <w:color w:val="000000"/>
                <w:sz w:val="20"/>
                <w:szCs w:val="20"/>
              </w:rPr>
              <w:t>FAA Capacity Benchmark Report</w:t>
            </w:r>
          </w:p>
        </w:tc>
        <w:tc>
          <w:tcPr>
            <w:tcW w:w="1250" w:type="pct"/>
            <w:shd w:val="clear" w:color="auto" w:fill="FFFFFF"/>
            <w:tcMar>
              <w:top w:w="75" w:type="dxa"/>
              <w:left w:w="105" w:type="dxa"/>
              <w:bottom w:w="75" w:type="dxa"/>
              <w:right w:w="105" w:type="dxa"/>
            </w:tcMar>
          </w:tcPr>
          <w:p w14:paraId="535E9FF6" w14:textId="77777777" w:rsidR="00CC3B7D" w:rsidRDefault="007B010E">
            <w:r>
              <w:rPr>
                <w:rFonts w:ascii="Calibri" w:eastAsia="Calibri" w:hAnsi="Calibri" w:cs="Calibri"/>
                <w:color w:val="000000"/>
                <w:sz w:val="20"/>
                <w:szCs w:val="20"/>
              </w:rPr>
              <w:t>Hourly declared capacity by airport and meteorological condition</w:t>
            </w:r>
          </w:p>
        </w:tc>
        <w:tc>
          <w:tcPr>
            <w:tcW w:w="1250" w:type="pct"/>
            <w:shd w:val="clear" w:color="auto" w:fill="FFFFFF"/>
            <w:tcMar>
              <w:top w:w="75" w:type="dxa"/>
              <w:left w:w="105" w:type="dxa"/>
              <w:bottom w:w="75" w:type="dxa"/>
              <w:right w:w="105" w:type="dxa"/>
            </w:tcMar>
          </w:tcPr>
          <w:p w14:paraId="535E9FF7" w14:textId="77777777" w:rsidR="00CC3B7D" w:rsidRDefault="007B010E">
            <w:r>
              <w:rPr>
                <w:rFonts w:ascii="Calibri" w:eastAsia="Calibri" w:hAnsi="Calibri" w:cs="Calibri"/>
                <w:color w:val="000000"/>
                <w:sz w:val="20"/>
                <w:szCs w:val="20"/>
              </w:rPr>
              <w:t>2016</w:t>
            </w:r>
          </w:p>
        </w:tc>
        <w:tc>
          <w:tcPr>
            <w:tcW w:w="1250" w:type="pct"/>
            <w:shd w:val="clear" w:color="auto" w:fill="FFFFFF"/>
            <w:tcMar>
              <w:top w:w="75" w:type="dxa"/>
              <w:left w:w="105" w:type="dxa"/>
              <w:bottom w:w="75" w:type="dxa"/>
              <w:right w:w="105" w:type="dxa"/>
            </w:tcMar>
          </w:tcPr>
          <w:p w14:paraId="535E9FF8" w14:textId="77777777" w:rsidR="00CC3B7D" w:rsidRDefault="007B010E">
            <w:r>
              <w:rPr>
                <w:rFonts w:ascii="Calibri" w:eastAsia="Calibri" w:hAnsi="Calibri" w:cs="Calibri"/>
                <w:color w:val="000000"/>
                <w:sz w:val="20"/>
                <w:szCs w:val="20"/>
              </w:rPr>
              <w:t>Baseline flow rates</w:t>
            </w:r>
          </w:p>
        </w:tc>
      </w:tr>
      <w:tr w:rsidR="00CC3B7D" w14:paraId="535E9FFE" w14:textId="77777777">
        <w:tblPrEx>
          <w:tblCellMar>
            <w:top w:w="0" w:type="dxa"/>
            <w:bottom w:w="0" w:type="dxa"/>
          </w:tblCellMar>
        </w:tblPrEx>
        <w:tc>
          <w:tcPr>
            <w:tcW w:w="1250" w:type="pct"/>
            <w:shd w:val="clear" w:color="auto" w:fill="FFFFFF"/>
            <w:tcMar>
              <w:top w:w="75" w:type="dxa"/>
              <w:left w:w="105" w:type="dxa"/>
              <w:bottom w:w="75" w:type="dxa"/>
              <w:right w:w="105" w:type="dxa"/>
            </w:tcMar>
          </w:tcPr>
          <w:p w14:paraId="535E9FFA" w14:textId="77777777" w:rsidR="00CC3B7D" w:rsidRDefault="007B010E">
            <w:r>
              <w:rPr>
                <w:rFonts w:ascii="Calibri" w:eastAsia="Calibri" w:hAnsi="Calibri" w:cs="Calibri"/>
                <w:color w:val="000000"/>
                <w:sz w:val="20"/>
                <w:szCs w:val="20"/>
              </w:rPr>
              <w:t>FAA ASPM Database</w:t>
            </w:r>
          </w:p>
        </w:tc>
        <w:tc>
          <w:tcPr>
            <w:tcW w:w="1250" w:type="pct"/>
            <w:shd w:val="clear" w:color="auto" w:fill="FFFFFF"/>
            <w:tcMar>
              <w:top w:w="75" w:type="dxa"/>
              <w:left w:w="105" w:type="dxa"/>
              <w:bottom w:w="75" w:type="dxa"/>
              <w:right w:w="105" w:type="dxa"/>
            </w:tcMar>
          </w:tcPr>
          <w:p w14:paraId="535E9FFB" w14:textId="77777777" w:rsidR="00CC3B7D" w:rsidRDefault="007B010E">
            <w:r>
              <w:rPr>
                <w:rFonts w:ascii="Calibri" w:eastAsia="Calibri" w:hAnsi="Calibri" w:cs="Calibri"/>
                <w:color w:val="000000"/>
                <w:sz w:val="20"/>
                <w:szCs w:val="20"/>
              </w:rPr>
              <w:t xml:space="preserve">Actual throughput, delay, and </w:t>
            </w:r>
            <w:proofErr w:type="gramStart"/>
            <w:r>
              <w:rPr>
                <w:rFonts w:ascii="Calibri" w:eastAsia="Calibri" w:hAnsi="Calibri" w:cs="Calibri"/>
                <w:color w:val="000000"/>
                <w:sz w:val="20"/>
                <w:szCs w:val="20"/>
              </w:rPr>
              <w:t>utilization</w:t>
            </w:r>
            <w:proofErr w:type="gramEnd"/>
            <w:r>
              <w:rPr>
                <w:rFonts w:ascii="Calibri" w:eastAsia="Calibri" w:hAnsi="Calibri" w:cs="Calibri"/>
                <w:color w:val="000000"/>
                <w:sz w:val="20"/>
                <w:szCs w:val="20"/>
              </w:rPr>
              <w:t xml:space="preserve"> metrics by airport and hour</w:t>
            </w:r>
          </w:p>
        </w:tc>
        <w:tc>
          <w:tcPr>
            <w:tcW w:w="1250" w:type="pct"/>
            <w:shd w:val="clear" w:color="auto" w:fill="FFFFFF"/>
            <w:tcMar>
              <w:top w:w="75" w:type="dxa"/>
              <w:left w:w="105" w:type="dxa"/>
              <w:bottom w:w="75" w:type="dxa"/>
              <w:right w:w="105" w:type="dxa"/>
            </w:tcMar>
          </w:tcPr>
          <w:p w14:paraId="535E9FFC" w14:textId="77777777" w:rsidR="00CC3B7D" w:rsidRDefault="007B010E">
            <w:r>
              <w:rPr>
                <w:rFonts w:ascii="Calibri" w:eastAsia="Calibri" w:hAnsi="Calibri" w:cs="Calibri"/>
                <w:color w:val="000000"/>
                <w:sz w:val="20"/>
                <w:szCs w:val="20"/>
              </w:rPr>
              <w:t>2020–2026</w:t>
            </w:r>
          </w:p>
        </w:tc>
        <w:tc>
          <w:tcPr>
            <w:tcW w:w="1250" w:type="pct"/>
            <w:shd w:val="clear" w:color="auto" w:fill="FFFFFF"/>
            <w:tcMar>
              <w:top w:w="75" w:type="dxa"/>
              <w:left w:w="105" w:type="dxa"/>
              <w:bottom w:w="75" w:type="dxa"/>
              <w:right w:w="105" w:type="dxa"/>
            </w:tcMar>
          </w:tcPr>
          <w:p w14:paraId="535E9FFD" w14:textId="77777777" w:rsidR="00CC3B7D" w:rsidRDefault="007B010E">
            <w:r>
              <w:rPr>
                <w:rFonts w:ascii="Calibri" w:eastAsia="Calibri" w:hAnsi="Calibri" w:cs="Calibri"/>
                <w:color w:val="000000"/>
                <w:sz w:val="20"/>
                <w:szCs w:val="20"/>
              </w:rPr>
              <w:t>Observed performance data</w:t>
            </w:r>
          </w:p>
        </w:tc>
      </w:tr>
      <w:tr w:rsidR="00CC3B7D" w14:paraId="535EA003" w14:textId="77777777">
        <w:tblPrEx>
          <w:tblCellMar>
            <w:top w:w="0" w:type="dxa"/>
            <w:bottom w:w="0" w:type="dxa"/>
          </w:tblCellMar>
        </w:tblPrEx>
        <w:tc>
          <w:tcPr>
            <w:tcW w:w="1250" w:type="pct"/>
            <w:shd w:val="clear" w:color="auto" w:fill="FFFFFF"/>
            <w:tcMar>
              <w:top w:w="75" w:type="dxa"/>
              <w:left w:w="105" w:type="dxa"/>
              <w:bottom w:w="75" w:type="dxa"/>
              <w:right w:w="105" w:type="dxa"/>
            </w:tcMar>
          </w:tcPr>
          <w:p w14:paraId="535E9FFF" w14:textId="77777777" w:rsidR="00CC3B7D" w:rsidRDefault="007B010E">
            <w:r>
              <w:rPr>
                <w:rFonts w:ascii="Calibri" w:eastAsia="Calibri" w:hAnsi="Calibri" w:cs="Calibri"/>
                <w:color w:val="000000"/>
                <w:sz w:val="20"/>
                <w:szCs w:val="20"/>
              </w:rPr>
              <w:t>BTS Form 41 T-100</w:t>
            </w:r>
          </w:p>
        </w:tc>
        <w:tc>
          <w:tcPr>
            <w:tcW w:w="1250" w:type="pct"/>
            <w:shd w:val="clear" w:color="auto" w:fill="FFFFFF"/>
            <w:tcMar>
              <w:top w:w="75" w:type="dxa"/>
              <w:left w:w="105" w:type="dxa"/>
              <w:bottom w:w="75" w:type="dxa"/>
              <w:right w:w="105" w:type="dxa"/>
            </w:tcMar>
          </w:tcPr>
          <w:p w14:paraId="535EA000" w14:textId="77777777" w:rsidR="00CC3B7D" w:rsidRDefault="007B010E">
            <w:r>
              <w:rPr>
                <w:rFonts w:ascii="Calibri" w:eastAsia="Calibri" w:hAnsi="Calibri" w:cs="Calibri"/>
                <w:color w:val="000000"/>
                <w:sz w:val="20"/>
                <w:szCs w:val="20"/>
              </w:rPr>
              <w:t xml:space="preserve">Airline segment operations and </w:t>
            </w:r>
            <w:r>
              <w:rPr>
                <w:rFonts w:ascii="Calibri" w:eastAsia="Calibri" w:hAnsi="Calibri" w:cs="Calibri"/>
                <w:color w:val="000000"/>
                <w:sz w:val="20"/>
                <w:szCs w:val="20"/>
              </w:rPr>
              <w:lastRenderedPageBreak/>
              <w:t>enplanement data by airport</w:t>
            </w:r>
          </w:p>
        </w:tc>
        <w:tc>
          <w:tcPr>
            <w:tcW w:w="1250" w:type="pct"/>
            <w:shd w:val="clear" w:color="auto" w:fill="FFFFFF"/>
            <w:tcMar>
              <w:top w:w="75" w:type="dxa"/>
              <w:left w:w="105" w:type="dxa"/>
              <w:bottom w:w="75" w:type="dxa"/>
              <w:right w:w="105" w:type="dxa"/>
            </w:tcMar>
          </w:tcPr>
          <w:p w14:paraId="535EA001" w14:textId="77777777" w:rsidR="00CC3B7D" w:rsidRDefault="007B010E">
            <w:r>
              <w:rPr>
                <w:rFonts w:ascii="Calibri" w:eastAsia="Calibri" w:hAnsi="Calibri" w:cs="Calibri"/>
                <w:color w:val="000000"/>
                <w:sz w:val="20"/>
                <w:szCs w:val="20"/>
              </w:rPr>
              <w:lastRenderedPageBreak/>
              <w:t>2020–2026</w:t>
            </w:r>
          </w:p>
        </w:tc>
        <w:tc>
          <w:tcPr>
            <w:tcW w:w="1250" w:type="pct"/>
            <w:shd w:val="clear" w:color="auto" w:fill="FFFFFF"/>
            <w:tcMar>
              <w:top w:w="75" w:type="dxa"/>
              <w:left w:w="105" w:type="dxa"/>
              <w:bottom w:w="75" w:type="dxa"/>
              <w:right w:w="105" w:type="dxa"/>
            </w:tcMar>
          </w:tcPr>
          <w:p w14:paraId="535EA002" w14:textId="77777777" w:rsidR="00CC3B7D" w:rsidRDefault="007B010E">
            <w:r>
              <w:rPr>
                <w:rFonts w:ascii="Calibri" w:eastAsia="Calibri" w:hAnsi="Calibri" w:cs="Calibri"/>
                <w:color w:val="000000"/>
                <w:sz w:val="20"/>
                <w:szCs w:val="20"/>
              </w:rPr>
              <w:t>Annual operations validation</w:t>
            </w:r>
          </w:p>
        </w:tc>
      </w:tr>
      <w:tr w:rsidR="00CC3B7D" w14:paraId="535EA008" w14:textId="77777777">
        <w:tblPrEx>
          <w:tblCellMar>
            <w:top w:w="0" w:type="dxa"/>
            <w:bottom w:w="0" w:type="dxa"/>
          </w:tblCellMar>
        </w:tblPrEx>
        <w:tc>
          <w:tcPr>
            <w:tcW w:w="1250" w:type="pct"/>
            <w:shd w:val="clear" w:color="auto" w:fill="FFFFFF"/>
            <w:tcMar>
              <w:top w:w="75" w:type="dxa"/>
              <w:left w:w="105" w:type="dxa"/>
              <w:bottom w:w="75" w:type="dxa"/>
              <w:right w:w="105" w:type="dxa"/>
            </w:tcMar>
          </w:tcPr>
          <w:p w14:paraId="535EA004" w14:textId="77777777" w:rsidR="00CC3B7D" w:rsidRDefault="007B010E">
            <w:r>
              <w:rPr>
                <w:rFonts w:ascii="Calibri" w:eastAsia="Calibri" w:hAnsi="Calibri" w:cs="Calibri"/>
                <w:color w:val="000000"/>
                <w:sz w:val="20"/>
                <w:szCs w:val="20"/>
              </w:rPr>
              <w:t>FAA Terminal Area Forecast (TAF)</w:t>
            </w:r>
          </w:p>
        </w:tc>
        <w:tc>
          <w:tcPr>
            <w:tcW w:w="1250" w:type="pct"/>
            <w:shd w:val="clear" w:color="auto" w:fill="FFFFFF"/>
            <w:tcMar>
              <w:top w:w="75" w:type="dxa"/>
              <w:left w:w="105" w:type="dxa"/>
              <w:bottom w:w="75" w:type="dxa"/>
              <w:right w:w="105" w:type="dxa"/>
            </w:tcMar>
          </w:tcPr>
          <w:p w14:paraId="535EA005" w14:textId="77777777" w:rsidR="00CC3B7D" w:rsidRDefault="007B010E">
            <w:r>
              <w:rPr>
                <w:rFonts w:ascii="Calibri" w:eastAsia="Calibri" w:hAnsi="Calibri" w:cs="Calibri"/>
                <w:color w:val="000000"/>
                <w:sz w:val="20"/>
                <w:szCs w:val="20"/>
              </w:rPr>
              <w:t>Airport-level demand projections by year and category</w:t>
            </w:r>
          </w:p>
        </w:tc>
        <w:tc>
          <w:tcPr>
            <w:tcW w:w="1250" w:type="pct"/>
            <w:shd w:val="clear" w:color="auto" w:fill="FFFFFF"/>
            <w:tcMar>
              <w:top w:w="75" w:type="dxa"/>
              <w:left w:w="105" w:type="dxa"/>
              <w:bottom w:w="75" w:type="dxa"/>
              <w:right w:w="105" w:type="dxa"/>
            </w:tcMar>
          </w:tcPr>
          <w:p w14:paraId="535EA006" w14:textId="77777777" w:rsidR="00CC3B7D" w:rsidRDefault="007B010E">
            <w:r>
              <w:rPr>
                <w:rFonts w:ascii="Calibri" w:eastAsia="Calibri" w:hAnsi="Calibri" w:cs="Calibri"/>
                <w:color w:val="000000"/>
                <w:sz w:val="20"/>
                <w:szCs w:val="20"/>
              </w:rPr>
              <w:t>2024 edition</w:t>
            </w:r>
          </w:p>
        </w:tc>
        <w:tc>
          <w:tcPr>
            <w:tcW w:w="1250" w:type="pct"/>
            <w:shd w:val="clear" w:color="auto" w:fill="FFFFFF"/>
            <w:tcMar>
              <w:top w:w="75" w:type="dxa"/>
              <w:left w:w="105" w:type="dxa"/>
              <w:bottom w:w="75" w:type="dxa"/>
              <w:right w:w="105" w:type="dxa"/>
            </w:tcMar>
          </w:tcPr>
          <w:p w14:paraId="535EA007" w14:textId="77777777" w:rsidR="00CC3B7D" w:rsidRDefault="007B010E">
            <w:r>
              <w:rPr>
                <w:rFonts w:ascii="Calibri" w:eastAsia="Calibri" w:hAnsi="Calibri" w:cs="Calibri"/>
                <w:color w:val="000000"/>
                <w:sz w:val="20"/>
                <w:szCs w:val="20"/>
              </w:rPr>
              <w:t>Unconstrained growth rates</w:t>
            </w:r>
          </w:p>
        </w:tc>
      </w:tr>
      <w:tr w:rsidR="00CC3B7D" w14:paraId="535EA00D" w14:textId="77777777">
        <w:tblPrEx>
          <w:tblCellMar>
            <w:top w:w="0" w:type="dxa"/>
            <w:bottom w:w="0" w:type="dxa"/>
          </w:tblCellMar>
        </w:tblPrEx>
        <w:tc>
          <w:tcPr>
            <w:tcW w:w="1250" w:type="pct"/>
            <w:shd w:val="clear" w:color="auto" w:fill="FFFFFF"/>
            <w:tcMar>
              <w:top w:w="75" w:type="dxa"/>
              <w:left w:w="105" w:type="dxa"/>
              <w:bottom w:w="75" w:type="dxa"/>
              <w:right w:w="105" w:type="dxa"/>
            </w:tcMar>
          </w:tcPr>
          <w:p w14:paraId="535EA009" w14:textId="77777777" w:rsidR="00CC3B7D" w:rsidRDefault="007B010E">
            <w:r>
              <w:rPr>
                <w:rFonts w:ascii="Calibri" w:eastAsia="Calibri" w:hAnsi="Calibri" w:cs="Calibri"/>
                <w:color w:val="000000"/>
                <w:sz w:val="20"/>
                <w:szCs w:val="20"/>
              </w:rPr>
              <w:t>FAA NextGen TSAS Evaluation</w:t>
            </w:r>
          </w:p>
        </w:tc>
        <w:tc>
          <w:tcPr>
            <w:tcW w:w="1250" w:type="pct"/>
            <w:shd w:val="clear" w:color="auto" w:fill="FFFFFF"/>
            <w:tcMar>
              <w:top w:w="75" w:type="dxa"/>
              <w:left w:w="105" w:type="dxa"/>
              <w:bottom w:w="75" w:type="dxa"/>
              <w:right w:w="105" w:type="dxa"/>
            </w:tcMar>
          </w:tcPr>
          <w:p w14:paraId="535EA00A" w14:textId="77777777" w:rsidR="00CC3B7D" w:rsidRDefault="007B010E">
            <w:r>
              <w:rPr>
                <w:rFonts w:ascii="Calibri" w:eastAsia="Calibri" w:hAnsi="Calibri" w:cs="Calibri"/>
                <w:color w:val="000000"/>
                <w:sz w:val="20"/>
                <w:szCs w:val="20"/>
              </w:rPr>
              <w:t>TSAS deployment performance assessments at SEA and system-wide</w:t>
            </w:r>
          </w:p>
        </w:tc>
        <w:tc>
          <w:tcPr>
            <w:tcW w:w="1250" w:type="pct"/>
            <w:shd w:val="clear" w:color="auto" w:fill="FFFFFF"/>
            <w:tcMar>
              <w:top w:w="75" w:type="dxa"/>
              <w:left w:w="105" w:type="dxa"/>
              <w:bottom w:w="75" w:type="dxa"/>
              <w:right w:w="105" w:type="dxa"/>
            </w:tcMar>
          </w:tcPr>
          <w:p w14:paraId="535EA00B" w14:textId="77777777" w:rsidR="00CC3B7D" w:rsidRDefault="007B010E">
            <w:r>
              <w:rPr>
                <w:rFonts w:ascii="Calibri" w:eastAsia="Calibri" w:hAnsi="Calibri" w:cs="Calibri"/>
                <w:color w:val="000000"/>
                <w:sz w:val="20"/>
                <w:szCs w:val="20"/>
              </w:rPr>
              <w:t>2019–2023</w:t>
            </w:r>
          </w:p>
        </w:tc>
        <w:tc>
          <w:tcPr>
            <w:tcW w:w="1250" w:type="pct"/>
            <w:shd w:val="clear" w:color="auto" w:fill="FFFFFF"/>
            <w:tcMar>
              <w:top w:w="75" w:type="dxa"/>
              <w:left w:w="105" w:type="dxa"/>
              <w:bottom w:w="75" w:type="dxa"/>
              <w:right w:w="105" w:type="dxa"/>
            </w:tcMar>
          </w:tcPr>
          <w:p w14:paraId="535EA00C" w14:textId="77777777" w:rsidR="00CC3B7D" w:rsidRDefault="007B010E">
            <w:r>
              <w:rPr>
                <w:rFonts w:ascii="Calibri" w:eastAsia="Calibri" w:hAnsi="Calibri" w:cs="Calibri"/>
                <w:color w:val="000000"/>
                <w:sz w:val="20"/>
                <w:szCs w:val="20"/>
              </w:rPr>
              <w:t>TSAS impact quantification</w:t>
            </w:r>
          </w:p>
        </w:tc>
      </w:tr>
      <w:tr w:rsidR="00CC3B7D" w14:paraId="535EA012" w14:textId="77777777">
        <w:tblPrEx>
          <w:tblCellMar>
            <w:top w:w="0" w:type="dxa"/>
            <w:bottom w:w="0" w:type="dxa"/>
          </w:tblCellMar>
        </w:tblPrEx>
        <w:tc>
          <w:tcPr>
            <w:tcW w:w="1250" w:type="pct"/>
            <w:shd w:val="clear" w:color="auto" w:fill="FFFFFF"/>
            <w:tcMar>
              <w:top w:w="75" w:type="dxa"/>
              <w:left w:w="105" w:type="dxa"/>
              <w:bottom w:w="75" w:type="dxa"/>
              <w:right w:w="105" w:type="dxa"/>
            </w:tcMar>
          </w:tcPr>
          <w:p w14:paraId="535EA00E" w14:textId="77777777" w:rsidR="00CC3B7D" w:rsidRDefault="007B010E">
            <w:r>
              <w:rPr>
                <w:rFonts w:ascii="Calibri" w:eastAsia="Calibri" w:hAnsi="Calibri" w:cs="Calibri"/>
                <w:color w:val="000000"/>
                <w:sz w:val="20"/>
                <w:szCs w:val="20"/>
              </w:rPr>
              <w:t>FAA Order 5090.3C</w:t>
            </w:r>
          </w:p>
        </w:tc>
        <w:tc>
          <w:tcPr>
            <w:tcW w:w="1250" w:type="pct"/>
            <w:shd w:val="clear" w:color="auto" w:fill="FFFFFF"/>
            <w:tcMar>
              <w:top w:w="75" w:type="dxa"/>
              <w:left w:w="105" w:type="dxa"/>
              <w:bottom w:w="75" w:type="dxa"/>
              <w:right w:w="105" w:type="dxa"/>
            </w:tcMar>
          </w:tcPr>
          <w:p w14:paraId="535EA00F" w14:textId="77777777" w:rsidR="00CC3B7D" w:rsidRDefault="007B010E">
            <w:r>
              <w:rPr>
                <w:rFonts w:ascii="Calibri" w:eastAsia="Calibri" w:hAnsi="Calibri" w:cs="Calibri"/>
                <w:color w:val="000000"/>
                <w:sz w:val="20"/>
                <w:szCs w:val="20"/>
              </w:rPr>
              <w:t>NPIAS field formulation methodology and planning standards</w:t>
            </w:r>
          </w:p>
        </w:tc>
        <w:tc>
          <w:tcPr>
            <w:tcW w:w="1250" w:type="pct"/>
            <w:shd w:val="clear" w:color="auto" w:fill="FFFFFF"/>
            <w:tcMar>
              <w:top w:w="75" w:type="dxa"/>
              <w:left w:w="105" w:type="dxa"/>
              <w:bottom w:w="75" w:type="dxa"/>
              <w:right w:w="105" w:type="dxa"/>
            </w:tcMar>
          </w:tcPr>
          <w:p w14:paraId="535EA010" w14:textId="77777777" w:rsidR="00CC3B7D" w:rsidRDefault="007B010E">
            <w:r>
              <w:rPr>
                <w:rFonts w:ascii="Calibri" w:eastAsia="Calibri" w:hAnsi="Calibri" w:cs="Calibri"/>
                <w:color w:val="000000"/>
                <w:sz w:val="20"/>
                <w:szCs w:val="20"/>
              </w:rPr>
              <w:t>Current</w:t>
            </w:r>
          </w:p>
        </w:tc>
        <w:tc>
          <w:tcPr>
            <w:tcW w:w="1250" w:type="pct"/>
            <w:shd w:val="clear" w:color="auto" w:fill="FFFFFF"/>
            <w:tcMar>
              <w:top w:w="75" w:type="dxa"/>
              <w:left w:w="105" w:type="dxa"/>
              <w:bottom w:w="75" w:type="dxa"/>
              <w:right w:w="105" w:type="dxa"/>
            </w:tcMar>
          </w:tcPr>
          <w:p w14:paraId="535EA011" w14:textId="77777777" w:rsidR="00CC3B7D" w:rsidRDefault="007B010E">
            <w:r>
              <w:rPr>
                <w:rFonts w:ascii="Calibri" w:eastAsia="Calibri" w:hAnsi="Calibri" w:cs="Calibri"/>
                <w:color w:val="000000"/>
                <w:sz w:val="20"/>
                <w:szCs w:val="20"/>
              </w:rPr>
              <w:t>Annual operations translation method</w:t>
            </w:r>
          </w:p>
        </w:tc>
      </w:tr>
      <w:tr w:rsidR="00CC3B7D" w14:paraId="535EA017" w14:textId="77777777">
        <w:tblPrEx>
          <w:tblCellMar>
            <w:top w:w="0" w:type="dxa"/>
            <w:bottom w:w="0" w:type="dxa"/>
          </w:tblCellMar>
        </w:tblPrEx>
        <w:tc>
          <w:tcPr>
            <w:tcW w:w="1250" w:type="pct"/>
            <w:shd w:val="clear" w:color="auto" w:fill="FFFFFF"/>
            <w:tcMar>
              <w:top w:w="75" w:type="dxa"/>
              <w:left w:w="105" w:type="dxa"/>
              <w:bottom w:w="75" w:type="dxa"/>
              <w:right w:w="105" w:type="dxa"/>
            </w:tcMar>
          </w:tcPr>
          <w:p w14:paraId="535EA013" w14:textId="77777777" w:rsidR="00CC3B7D" w:rsidRDefault="007B010E">
            <w:r>
              <w:rPr>
                <w:rFonts w:ascii="Calibri" w:eastAsia="Calibri" w:hAnsi="Calibri" w:cs="Calibri"/>
                <w:color w:val="000000"/>
                <w:sz w:val="20"/>
                <w:szCs w:val="20"/>
              </w:rPr>
              <w:t>Port of Seattle Internal Analysis</w:t>
            </w:r>
          </w:p>
        </w:tc>
        <w:tc>
          <w:tcPr>
            <w:tcW w:w="1250" w:type="pct"/>
            <w:shd w:val="clear" w:color="auto" w:fill="FFFFFF"/>
            <w:tcMar>
              <w:top w:w="75" w:type="dxa"/>
              <w:left w:w="105" w:type="dxa"/>
              <w:bottom w:w="75" w:type="dxa"/>
              <w:right w:w="105" w:type="dxa"/>
            </w:tcMar>
          </w:tcPr>
          <w:p w14:paraId="535EA014" w14:textId="77777777" w:rsidR="00CC3B7D" w:rsidRDefault="007B010E">
            <w:r>
              <w:rPr>
                <w:rFonts w:ascii="Calibri" w:eastAsia="Calibri" w:hAnsi="Calibri" w:cs="Calibri"/>
                <w:color w:val="000000"/>
                <w:sz w:val="20"/>
                <w:szCs w:val="20"/>
              </w:rPr>
              <w:t>Gate utilization, apron counts, and constraint modeling</w:t>
            </w:r>
          </w:p>
        </w:tc>
        <w:tc>
          <w:tcPr>
            <w:tcW w:w="1250" w:type="pct"/>
            <w:shd w:val="clear" w:color="auto" w:fill="FFFFFF"/>
            <w:tcMar>
              <w:top w:w="75" w:type="dxa"/>
              <w:left w:w="105" w:type="dxa"/>
              <w:bottom w:w="75" w:type="dxa"/>
              <w:right w:w="105" w:type="dxa"/>
            </w:tcMar>
          </w:tcPr>
          <w:p w14:paraId="535EA015" w14:textId="77777777" w:rsidR="00CC3B7D" w:rsidRDefault="007B010E">
            <w:r>
              <w:rPr>
                <w:rFonts w:ascii="Calibri" w:eastAsia="Calibri" w:hAnsi="Calibri" w:cs="Calibri"/>
                <w:color w:val="000000"/>
                <w:sz w:val="20"/>
                <w:szCs w:val="20"/>
              </w:rPr>
              <w:t>2024–2026</w:t>
            </w:r>
          </w:p>
        </w:tc>
        <w:tc>
          <w:tcPr>
            <w:tcW w:w="1250" w:type="pct"/>
            <w:shd w:val="clear" w:color="auto" w:fill="FFFFFF"/>
            <w:tcMar>
              <w:top w:w="75" w:type="dxa"/>
              <w:left w:w="105" w:type="dxa"/>
              <w:bottom w:w="75" w:type="dxa"/>
              <w:right w:w="105" w:type="dxa"/>
            </w:tcMar>
          </w:tcPr>
          <w:p w14:paraId="535EA016" w14:textId="77777777" w:rsidR="00CC3B7D" w:rsidRDefault="007B010E">
            <w:r>
              <w:rPr>
                <w:rFonts w:ascii="Calibri" w:eastAsia="Calibri" w:hAnsi="Calibri" w:cs="Calibri"/>
                <w:color w:val="000000"/>
                <w:sz w:val="20"/>
                <w:szCs w:val="20"/>
              </w:rPr>
              <w:t>Constrained scenario inputs</w:t>
            </w:r>
          </w:p>
        </w:tc>
      </w:tr>
      <w:tr w:rsidR="00CC3B7D" w14:paraId="535EA01C" w14:textId="77777777">
        <w:tblPrEx>
          <w:tblCellMar>
            <w:top w:w="0" w:type="dxa"/>
            <w:bottom w:w="0" w:type="dxa"/>
          </w:tblCellMar>
        </w:tblPrEx>
        <w:tc>
          <w:tcPr>
            <w:tcW w:w="1250" w:type="pct"/>
            <w:shd w:val="clear" w:color="auto" w:fill="FFFFFF"/>
            <w:tcMar>
              <w:top w:w="75" w:type="dxa"/>
              <w:left w:w="105" w:type="dxa"/>
              <w:bottom w:w="75" w:type="dxa"/>
              <w:right w:w="105" w:type="dxa"/>
            </w:tcMar>
          </w:tcPr>
          <w:p w14:paraId="535EA018" w14:textId="77777777" w:rsidR="00CC3B7D" w:rsidRDefault="007B010E">
            <w:r>
              <w:rPr>
                <w:rFonts w:ascii="Calibri" w:eastAsia="Calibri" w:hAnsi="Calibri" w:cs="Calibri"/>
                <w:color w:val="000000"/>
                <w:sz w:val="20"/>
                <w:szCs w:val="20"/>
              </w:rPr>
              <w:t>FAA Capacity Needs NAS Study</w:t>
            </w:r>
          </w:p>
        </w:tc>
        <w:tc>
          <w:tcPr>
            <w:tcW w:w="1250" w:type="pct"/>
            <w:shd w:val="clear" w:color="auto" w:fill="FFFFFF"/>
            <w:tcMar>
              <w:top w:w="75" w:type="dxa"/>
              <w:left w:w="105" w:type="dxa"/>
              <w:bottom w:w="75" w:type="dxa"/>
              <w:right w:w="105" w:type="dxa"/>
            </w:tcMar>
          </w:tcPr>
          <w:p w14:paraId="535EA019" w14:textId="77777777" w:rsidR="00CC3B7D" w:rsidRDefault="007B010E">
            <w:r>
              <w:rPr>
                <w:rFonts w:ascii="Calibri" w:eastAsia="Calibri" w:hAnsi="Calibri" w:cs="Calibri"/>
                <w:color w:val="000000"/>
                <w:sz w:val="20"/>
                <w:szCs w:val="20"/>
              </w:rPr>
              <w:t>National capacity framework and airport-level benchmarking</w:t>
            </w:r>
          </w:p>
        </w:tc>
        <w:tc>
          <w:tcPr>
            <w:tcW w:w="1250" w:type="pct"/>
            <w:shd w:val="clear" w:color="auto" w:fill="FFFFFF"/>
            <w:tcMar>
              <w:top w:w="75" w:type="dxa"/>
              <w:left w:w="105" w:type="dxa"/>
              <w:bottom w:w="75" w:type="dxa"/>
              <w:right w:w="105" w:type="dxa"/>
            </w:tcMar>
          </w:tcPr>
          <w:p w14:paraId="535EA01A" w14:textId="77777777" w:rsidR="00CC3B7D" w:rsidRDefault="007B010E">
            <w:r>
              <w:rPr>
                <w:rFonts w:ascii="Calibri" w:eastAsia="Calibri" w:hAnsi="Calibri" w:cs="Calibri"/>
                <w:color w:val="000000"/>
                <w:sz w:val="20"/>
                <w:szCs w:val="20"/>
              </w:rPr>
              <w:t>2016</w:t>
            </w:r>
          </w:p>
        </w:tc>
        <w:tc>
          <w:tcPr>
            <w:tcW w:w="1250" w:type="pct"/>
            <w:shd w:val="clear" w:color="auto" w:fill="FFFFFF"/>
            <w:tcMar>
              <w:top w:w="75" w:type="dxa"/>
              <w:left w:w="105" w:type="dxa"/>
              <w:bottom w:w="75" w:type="dxa"/>
              <w:right w:w="105" w:type="dxa"/>
            </w:tcMar>
          </w:tcPr>
          <w:p w14:paraId="535EA01B" w14:textId="77777777" w:rsidR="00CC3B7D" w:rsidRDefault="007B010E">
            <w:r>
              <w:rPr>
                <w:rFonts w:ascii="Calibri" w:eastAsia="Calibri" w:hAnsi="Calibri" w:cs="Calibri"/>
                <w:color w:val="000000"/>
                <w:sz w:val="20"/>
                <w:szCs w:val="20"/>
              </w:rPr>
              <w:t>Baseline context and SEA benchmarking</w:t>
            </w:r>
          </w:p>
        </w:tc>
      </w:tr>
    </w:tbl>
    <w:p w14:paraId="535EA01D" w14:textId="77777777" w:rsidR="00CC3B7D" w:rsidRDefault="00CC3B7D">
      <w:pPr>
        <w:spacing w:after="200"/>
      </w:pPr>
    </w:p>
    <w:p w14:paraId="535EA01E" w14:textId="77777777" w:rsidR="00CC3B7D" w:rsidRDefault="007B010E">
      <w:pPr>
        <w:pStyle w:val="Heading1"/>
        <w:spacing w:before="360" w:after="80" w:line="312" w:lineRule="auto"/>
      </w:pPr>
      <w:r>
        <w:rPr>
          <w:rFonts w:ascii="Calibri" w:eastAsia="Calibri" w:hAnsi="Calibri" w:cs="Calibri"/>
          <w:color w:val="1A1A1A"/>
          <w:sz w:val="40"/>
          <w:szCs w:val="40"/>
        </w:rPr>
        <w:t>Section 12 – Definitions and Abbreviations</w:t>
      </w:r>
    </w:p>
    <w:p w14:paraId="535EA01F" w14:textId="77777777" w:rsidR="00CC3B7D" w:rsidRDefault="007B010E">
      <w:pPr>
        <w:spacing w:after="60" w:line="360" w:lineRule="auto"/>
      </w:pPr>
      <w:r>
        <w:rPr>
          <w:rFonts w:ascii="Calibri" w:eastAsia="Calibri" w:hAnsi="Calibri" w:cs="Calibri"/>
          <w:b/>
          <w:bCs/>
          <w:color w:val="1E3A6E"/>
          <w:sz w:val="20"/>
          <w:szCs w:val="20"/>
        </w:rPr>
        <w:t>Table 12-1: Definitions and Abbreviations</w:t>
      </w:r>
    </w:p>
    <w:p w14:paraId="535EA020" w14:textId="77777777" w:rsidR="00CC3B7D" w:rsidRDefault="00CC3B7D">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4675"/>
        <w:gridCol w:w="4675"/>
      </w:tblGrid>
      <w:tr w:rsidR="00CC3B7D" w14:paraId="535EA023" w14:textId="77777777">
        <w:tblPrEx>
          <w:tblCellMar>
            <w:top w:w="0" w:type="dxa"/>
            <w:bottom w:w="0" w:type="dxa"/>
          </w:tblCellMar>
        </w:tblPrEx>
        <w:trPr>
          <w:tblHeader/>
        </w:trPr>
        <w:tc>
          <w:tcPr>
            <w:tcW w:w="2500" w:type="pct"/>
            <w:shd w:val="clear" w:color="auto" w:fill="CCD9EA"/>
            <w:tcMar>
              <w:top w:w="75" w:type="dxa"/>
              <w:left w:w="105" w:type="dxa"/>
              <w:bottom w:w="75" w:type="dxa"/>
              <w:right w:w="105" w:type="dxa"/>
            </w:tcMar>
          </w:tcPr>
          <w:p w14:paraId="535EA021" w14:textId="77777777" w:rsidR="00CC3B7D" w:rsidRDefault="007B010E">
            <w:r>
              <w:rPr>
                <w:rFonts w:ascii="Calibri" w:eastAsia="Calibri" w:hAnsi="Calibri" w:cs="Calibri"/>
                <w:b/>
                <w:bCs/>
                <w:color w:val="0D2240"/>
                <w:sz w:val="20"/>
                <w:szCs w:val="20"/>
              </w:rPr>
              <w:t>Term</w:t>
            </w:r>
          </w:p>
        </w:tc>
        <w:tc>
          <w:tcPr>
            <w:tcW w:w="2500" w:type="pct"/>
            <w:shd w:val="clear" w:color="auto" w:fill="CCD9EA"/>
            <w:tcMar>
              <w:top w:w="75" w:type="dxa"/>
              <w:left w:w="105" w:type="dxa"/>
              <w:bottom w:w="75" w:type="dxa"/>
              <w:right w:w="105" w:type="dxa"/>
            </w:tcMar>
          </w:tcPr>
          <w:p w14:paraId="535EA022" w14:textId="77777777" w:rsidR="00CC3B7D" w:rsidRDefault="007B010E">
            <w:r>
              <w:rPr>
                <w:rFonts w:ascii="Calibri" w:eastAsia="Calibri" w:hAnsi="Calibri" w:cs="Calibri"/>
                <w:b/>
                <w:bCs/>
                <w:color w:val="0D2240"/>
                <w:sz w:val="20"/>
                <w:szCs w:val="20"/>
              </w:rPr>
              <w:t>Definition</w:t>
            </w:r>
          </w:p>
        </w:tc>
      </w:tr>
      <w:tr w:rsidR="00CC3B7D" w14:paraId="535EA026" w14:textId="77777777">
        <w:tblPrEx>
          <w:tblCellMar>
            <w:top w:w="0" w:type="dxa"/>
            <w:bottom w:w="0" w:type="dxa"/>
          </w:tblCellMar>
        </w:tblPrEx>
        <w:tc>
          <w:tcPr>
            <w:tcW w:w="2500" w:type="pct"/>
            <w:shd w:val="clear" w:color="auto" w:fill="FFFFFF"/>
            <w:tcMar>
              <w:top w:w="75" w:type="dxa"/>
              <w:left w:w="105" w:type="dxa"/>
              <w:bottom w:w="75" w:type="dxa"/>
              <w:right w:w="105" w:type="dxa"/>
            </w:tcMar>
          </w:tcPr>
          <w:p w14:paraId="535EA024" w14:textId="77777777" w:rsidR="00CC3B7D" w:rsidRDefault="007B010E">
            <w:r>
              <w:rPr>
                <w:rFonts w:ascii="Calibri" w:eastAsia="Calibri" w:hAnsi="Calibri" w:cs="Calibri"/>
                <w:b/>
                <w:bCs/>
                <w:color w:val="000000"/>
                <w:sz w:val="22"/>
                <w:szCs w:val="22"/>
              </w:rPr>
              <w:t>ASPM</w:t>
            </w:r>
          </w:p>
        </w:tc>
        <w:tc>
          <w:tcPr>
            <w:tcW w:w="2500" w:type="pct"/>
            <w:shd w:val="clear" w:color="auto" w:fill="FFFFFF"/>
            <w:tcMar>
              <w:top w:w="75" w:type="dxa"/>
              <w:left w:w="105" w:type="dxa"/>
              <w:bottom w:w="75" w:type="dxa"/>
              <w:right w:w="105" w:type="dxa"/>
            </w:tcMar>
          </w:tcPr>
          <w:p w14:paraId="535EA025" w14:textId="77777777" w:rsidR="00CC3B7D" w:rsidRDefault="007B010E">
            <w:r>
              <w:rPr>
                <w:rFonts w:ascii="Calibri" w:eastAsia="Calibri" w:hAnsi="Calibri" w:cs="Calibri"/>
                <w:color w:val="000000"/>
                <w:sz w:val="20"/>
                <w:szCs w:val="20"/>
              </w:rPr>
              <w:t xml:space="preserve">Aviation System Performance Metrics — FAA database tracking throughput, delay, and efficiency metrics by airport and </w:t>
            </w:r>
            <w:proofErr w:type="gramStart"/>
            <w:r>
              <w:rPr>
                <w:rFonts w:ascii="Calibri" w:eastAsia="Calibri" w:hAnsi="Calibri" w:cs="Calibri"/>
                <w:color w:val="000000"/>
                <w:sz w:val="20"/>
                <w:szCs w:val="20"/>
              </w:rPr>
              <w:t>time period</w:t>
            </w:r>
            <w:proofErr w:type="gramEnd"/>
          </w:p>
        </w:tc>
      </w:tr>
      <w:tr w:rsidR="00CC3B7D" w14:paraId="535EA029" w14:textId="77777777">
        <w:tblPrEx>
          <w:tblCellMar>
            <w:top w:w="0" w:type="dxa"/>
            <w:bottom w:w="0" w:type="dxa"/>
          </w:tblCellMar>
        </w:tblPrEx>
        <w:tc>
          <w:tcPr>
            <w:tcW w:w="2500" w:type="pct"/>
            <w:shd w:val="clear" w:color="auto" w:fill="FFFFFF"/>
            <w:tcMar>
              <w:top w:w="75" w:type="dxa"/>
              <w:left w:w="105" w:type="dxa"/>
              <w:bottom w:w="75" w:type="dxa"/>
              <w:right w:w="105" w:type="dxa"/>
            </w:tcMar>
          </w:tcPr>
          <w:p w14:paraId="535EA027" w14:textId="77777777" w:rsidR="00CC3B7D" w:rsidRDefault="007B010E">
            <w:r>
              <w:rPr>
                <w:rFonts w:ascii="Calibri" w:eastAsia="Calibri" w:hAnsi="Calibri" w:cs="Calibri"/>
                <w:b/>
                <w:bCs/>
                <w:color w:val="000000"/>
                <w:sz w:val="22"/>
                <w:szCs w:val="22"/>
              </w:rPr>
              <w:t>BTS</w:t>
            </w:r>
          </w:p>
        </w:tc>
        <w:tc>
          <w:tcPr>
            <w:tcW w:w="2500" w:type="pct"/>
            <w:shd w:val="clear" w:color="auto" w:fill="FFFFFF"/>
            <w:tcMar>
              <w:top w:w="75" w:type="dxa"/>
              <w:left w:w="105" w:type="dxa"/>
              <w:bottom w:w="75" w:type="dxa"/>
              <w:right w:w="105" w:type="dxa"/>
            </w:tcMar>
          </w:tcPr>
          <w:p w14:paraId="535EA028" w14:textId="77777777" w:rsidR="00CC3B7D" w:rsidRDefault="007B010E">
            <w:r>
              <w:rPr>
                <w:rFonts w:ascii="Calibri" w:eastAsia="Calibri" w:hAnsi="Calibri" w:cs="Calibri"/>
                <w:color w:val="000000"/>
                <w:sz w:val="20"/>
                <w:szCs w:val="20"/>
              </w:rPr>
              <w:t>Bureau of Transportation Statistics — federal agency publishing airline operations and enplanement data including Form 41 T-100 segment data</w:t>
            </w:r>
          </w:p>
        </w:tc>
      </w:tr>
      <w:tr w:rsidR="00CC3B7D" w14:paraId="535EA02C" w14:textId="77777777">
        <w:tblPrEx>
          <w:tblCellMar>
            <w:top w:w="0" w:type="dxa"/>
            <w:bottom w:w="0" w:type="dxa"/>
          </w:tblCellMar>
        </w:tblPrEx>
        <w:tc>
          <w:tcPr>
            <w:tcW w:w="2500" w:type="pct"/>
            <w:shd w:val="clear" w:color="auto" w:fill="FFFFFF"/>
            <w:tcMar>
              <w:top w:w="75" w:type="dxa"/>
              <w:left w:w="105" w:type="dxa"/>
              <w:bottom w:w="75" w:type="dxa"/>
              <w:right w:w="105" w:type="dxa"/>
            </w:tcMar>
          </w:tcPr>
          <w:p w14:paraId="535EA02A" w14:textId="77777777" w:rsidR="00CC3B7D" w:rsidRDefault="007B010E">
            <w:r>
              <w:rPr>
                <w:rFonts w:ascii="Calibri" w:eastAsia="Calibri" w:hAnsi="Calibri" w:cs="Calibri"/>
                <w:b/>
                <w:bCs/>
                <w:color w:val="000000"/>
                <w:sz w:val="22"/>
                <w:szCs w:val="22"/>
              </w:rPr>
              <w:t>IMC</w:t>
            </w:r>
          </w:p>
        </w:tc>
        <w:tc>
          <w:tcPr>
            <w:tcW w:w="2500" w:type="pct"/>
            <w:shd w:val="clear" w:color="auto" w:fill="FFFFFF"/>
            <w:tcMar>
              <w:top w:w="75" w:type="dxa"/>
              <w:left w:w="105" w:type="dxa"/>
              <w:bottom w:w="75" w:type="dxa"/>
              <w:right w:w="105" w:type="dxa"/>
            </w:tcMar>
          </w:tcPr>
          <w:p w14:paraId="535EA02B" w14:textId="77777777" w:rsidR="00CC3B7D" w:rsidRDefault="007B010E">
            <w:r>
              <w:rPr>
                <w:rFonts w:ascii="Calibri" w:eastAsia="Calibri" w:hAnsi="Calibri" w:cs="Calibri"/>
                <w:color w:val="000000"/>
                <w:sz w:val="20"/>
                <w:szCs w:val="20"/>
              </w:rPr>
              <w:t>Instrument Meteorological Conditions — weather conditions requiring instrument approach procedures; generally ceiling below 1,000 feet and/or visibility below 3 miles</w:t>
            </w:r>
          </w:p>
        </w:tc>
      </w:tr>
      <w:tr w:rsidR="00CC3B7D" w14:paraId="535EA02F" w14:textId="77777777">
        <w:tblPrEx>
          <w:tblCellMar>
            <w:top w:w="0" w:type="dxa"/>
            <w:bottom w:w="0" w:type="dxa"/>
          </w:tblCellMar>
        </w:tblPrEx>
        <w:tc>
          <w:tcPr>
            <w:tcW w:w="2500" w:type="pct"/>
            <w:shd w:val="clear" w:color="auto" w:fill="FFFFFF"/>
            <w:tcMar>
              <w:top w:w="75" w:type="dxa"/>
              <w:left w:w="105" w:type="dxa"/>
              <w:bottom w:w="75" w:type="dxa"/>
              <w:right w:w="105" w:type="dxa"/>
            </w:tcMar>
          </w:tcPr>
          <w:p w14:paraId="535EA02D" w14:textId="77777777" w:rsidR="00CC3B7D" w:rsidRDefault="007B010E">
            <w:r>
              <w:rPr>
                <w:rFonts w:ascii="Calibri" w:eastAsia="Calibri" w:hAnsi="Calibri" w:cs="Calibri"/>
                <w:b/>
                <w:bCs/>
                <w:color w:val="000000"/>
                <w:sz w:val="22"/>
                <w:szCs w:val="22"/>
              </w:rPr>
              <w:t>VMC</w:t>
            </w:r>
          </w:p>
        </w:tc>
        <w:tc>
          <w:tcPr>
            <w:tcW w:w="2500" w:type="pct"/>
            <w:shd w:val="clear" w:color="auto" w:fill="FFFFFF"/>
            <w:tcMar>
              <w:top w:w="75" w:type="dxa"/>
              <w:left w:w="105" w:type="dxa"/>
              <w:bottom w:w="75" w:type="dxa"/>
              <w:right w:w="105" w:type="dxa"/>
            </w:tcMar>
          </w:tcPr>
          <w:p w14:paraId="535EA02E" w14:textId="77777777" w:rsidR="00CC3B7D" w:rsidRDefault="007B010E">
            <w:r>
              <w:rPr>
                <w:rFonts w:ascii="Calibri" w:eastAsia="Calibri" w:hAnsi="Calibri" w:cs="Calibri"/>
                <w:color w:val="000000"/>
                <w:sz w:val="20"/>
                <w:szCs w:val="20"/>
              </w:rPr>
              <w:t>Visual Meteorological Conditions — weather conditions permitting visual approach and departure procedures, enabling higher throughput than IMC</w:t>
            </w:r>
          </w:p>
        </w:tc>
      </w:tr>
      <w:tr w:rsidR="00CC3B7D" w14:paraId="535EA032" w14:textId="77777777">
        <w:tblPrEx>
          <w:tblCellMar>
            <w:top w:w="0" w:type="dxa"/>
            <w:bottom w:w="0" w:type="dxa"/>
          </w:tblCellMar>
        </w:tblPrEx>
        <w:tc>
          <w:tcPr>
            <w:tcW w:w="2500" w:type="pct"/>
            <w:shd w:val="clear" w:color="auto" w:fill="FFFFFF"/>
            <w:tcMar>
              <w:top w:w="75" w:type="dxa"/>
              <w:left w:w="105" w:type="dxa"/>
              <w:bottom w:w="75" w:type="dxa"/>
              <w:right w:w="105" w:type="dxa"/>
            </w:tcMar>
          </w:tcPr>
          <w:p w14:paraId="535EA030" w14:textId="77777777" w:rsidR="00CC3B7D" w:rsidRDefault="007B010E">
            <w:r>
              <w:rPr>
                <w:rFonts w:ascii="Calibri" w:eastAsia="Calibri" w:hAnsi="Calibri" w:cs="Calibri"/>
                <w:b/>
                <w:bCs/>
                <w:color w:val="000000"/>
                <w:sz w:val="22"/>
                <w:szCs w:val="22"/>
              </w:rPr>
              <w:t>ops/</w:t>
            </w:r>
            <w:proofErr w:type="spellStart"/>
            <w:r>
              <w:rPr>
                <w:rFonts w:ascii="Calibri" w:eastAsia="Calibri" w:hAnsi="Calibri" w:cs="Calibri"/>
                <w:b/>
                <w:bCs/>
                <w:color w:val="000000"/>
                <w:sz w:val="22"/>
                <w:szCs w:val="22"/>
              </w:rPr>
              <w:t>hr</w:t>
            </w:r>
            <w:proofErr w:type="spellEnd"/>
          </w:p>
        </w:tc>
        <w:tc>
          <w:tcPr>
            <w:tcW w:w="2500" w:type="pct"/>
            <w:shd w:val="clear" w:color="auto" w:fill="FFFFFF"/>
            <w:tcMar>
              <w:top w:w="75" w:type="dxa"/>
              <w:left w:w="105" w:type="dxa"/>
              <w:bottom w:w="75" w:type="dxa"/>
              <w:right w:w="105" w:type="dxa"/>
            </w:tcMar>
          </w:tcPr>
          <w:p w14:paraId="535EA031" w14:textId="77777777" w:rsidR="00CC3B7D" w:rsidRDefault="007B010E">
            <w:r>
              <w:rPr>
                <w:rFonts w:ascii="Calibri" w:eastAsia="Calibri" w:hAnsi="Calibri" w:cs="Calibri"/>
                <w:color w:val="000000"/>
                <w:sz w:val="20"/>
                <w:szCs w:val="20"/>
              </w:rPr>
              <w:t>Aircraft operations per hour — the combined count of arrivals and departures in a one-hour period unless stated separately</w:t>
            </w:r>
          </w:p>
        </w:tc>
      </w:tr>
      <w:tr w:rsidR="00CC3B7D" w14:paraId="535EA035" w14:textId="77777777">
        <w:tblPrEx>
          <w:tblCellMar>
            <w:top w:w="0" w:type="dxa"/>
            <w:bottom w:w="0" w:type="dxa"/>
          </w:tblCellMar>
        </w:tblPrEx>
        <w:tc>
          <w:tcPr>
            <w:tcW w:w="2500" w:type="pct"/>
            <w:shd w:val="clear" w:color="auto" w:fill="FFFFFF"/>
            <w:tcMar>
              <w:top w:w="75" w:type="dxa"/>
              <w:left w:w="105" w:type="dxa"/>
              <w:bottom w:w="75" w:type="dxa"/>
              <w:right w:w="105" w:type="dxa"/>
            </w:tcMar>
          </w:tcPr>
          <w:p w14:paraId="535EA033" w14:textId="77777777" w:rsidR="00CC3B7D" w:rsidRDefault="007B010E">
            <w:r>
              <w:rPr>
                <w:rFonts w:ascii="Calibri" w:eastAsia="Calibri" w:hAnsi="Calibri" w:cs="Calibri"/>
                <w:b/>
                <w:bCs/>
                <w:color w:val="000000"/>
                <w:sz w:val="22"/>
                <w:szCs w:val="22"/>
              </w:rPr>
              <w:lastRenderedPageBreak/>
              <w:t>TAF</w:t>
            </w:r>
          </w:p>
        </w:tc>
        <w:tc>
          <w:tcPr>
            <w:tcW w:w="2500" w:type="pct"/>
            <w:shd w:val="clear" w:color="auto" w:fill="FFFFFF"/>
            <w:tcMar>
              <w:top w:w="75" w:type="dxa"/>
              <w:left w:w="105" w:type="dxa"/>
              <w:bottom w:w="75" w:type="dxa"/>
              <w:right w:w="105" w:type="dxa"/>
            </w:tcMar>
          </w:tcPr>
          <w:p w14:paraId="535EA034" w14:textId="77777777" w:rsidR="00CC3B7D" w:rsidRDefault="007B010E">
            <w:r>
              <w:rPr>
                <w:rFonts w:ascii="Calibri" w:eastAsia="Calibri" w:hAnsi="Calibri" w:cs="Calibri"/>
                <w:color w:val="000000"/>
                <w:sz w:val="20"/>
                <w:szCs w:val="20"/>
              </w:rPr>
              <w:t>Terminal Area Forecast — FAA annual publication projecting airport-level operations and enplanements by year</w:t>
            </w:r>
          </w:p>
        </w:tc>
      </w:tr>
      <w:tr w:rsidR="00CC3B7D" w14:paraId="535EA038" w14:textId="77777777">
        <w:tblPrEx>
          <w:tblCellMar>
            <w:top w:w="0" w:type="dxa"/>
            <w:bottom w:w="0" w:type="dxa"/>
          </w:tblCellMar>
        </w:tblPrEx>
        <w:tc>
          <w:tcPr>
            <w:tcW w:w="2500" w:type="pct"/>
            <w:shd w:val="clear" w:color="auto" w:fill="FFFFFF"/>
            <w:tcMar>
              <w:top w:w="75" w:type="dxa"/>
              <w:left w:w="105" w:type="dxa"/>
              <w:bottom w:w="75" w:type="dxa"/>
              <w:right w:w="105" w:type="dxa"/>
            </w:tcMar>
          </w:tcPr>
          <w:p w14:paraId="535EA036" w14:textId="77777777" w:rsidR="00CC3B7D" w:rsidRDefault="007B010E">
            <w:r>
              <w:rPr>
                <w:rFonts w:ascii="Calibri" w:eastAsia="Calibri" w:hAnsi="Calibri" w:cs="Calibri"/>
                <w:b/>
                <w:bCs/>
                <w:color w:val="000000"/>
                <w:sz w:val="22"/>
                <w:szCs w:val="22"/>
              </w:rPr>
              <w:t>TSAS</w:t>
            </w:r>
          </w:p>
        </w:tc>
        <w:tc>
          <w:tcPr>
            <w:tcW w:w="2500" w:type="pct"/>
            <w:shd w:val="clear" w:color="auto" w:fill="FFFFFF"/>
            <w:tcMar>
              <w:top w:w="75" w:type="dxa"/>
              <w:left w:w="105" w:type="dxa"/>
              <w:bottom w:w="75" w:type="dxa"/>
              <w:right w:w="105" w:type="dxa"/>
            </w:tcMar>
          </w:tcPr>
          <w:p w14:paraId="535EA037" w14:textId="77777777" w:rsidR="00CC3B7D" w:rsidRDefault="007B010E">
            <w:r>
              <w:rPr>
                <w:rFonts w:ascii="Calibri" w:eastAsia="Calibri" w:hAnsi="Calibri" w:cs="Calibri"/>
                <w:color w:val="000000"/>
                <w:sz w:val="20"/>
                <w:szCs w:val="20"/>
              </w:rPr>
              <w:t>Terminal Sequencing and Spacing — FAA NextGen automation tool providing arrival sequencing optimization and speed/spacing advisories to air traffic controllers</w:t>
            </w:r>
          </w:p>
        </w:tc>
      </w:tr>
      <w:tr w:rsidR="00CC3B7D" w14:paraId="535EA03B" w14:textId="77777777">
        <w:tblPrEx>
          <w:tblCellMar>
            <w:top w:w="0" w:type="dxa"/>
            <w:bottom w:w="0" w:type="dxa"/>
          </w:tblCellMar>
        </w:tblPrEx>
        <w:tc>
          <w:tcPr>
            <w:tcW w:w="2500" w:type="pct"/>
            <w:shd w:val="clear" w:color="auto" w:fill="FFFFFF"/>
            <w:tcMar>
              <w:top w:w="75" w:type="dxa"/>
              <w:left w:w="105" w:type="dxa"/>
              <w:bottom w:w="75" w:type="dxa"/>
              <w:right w:w="105" w:type="dxa"/>
            </w:tcMar>
          </w:tcPr>
          <w:p w14:paraId="535EA039" w14:textId="77777777" w:rsidR="00CC3B7D" w:rsidRDefault="007B010E">
            <w:r>
              <w:rPr>
                <w:rFonts w:ascii="Calibri" w:eastAsia="Calibri" w:hAnsi="Calibri" w:cs="Calibri"/>
                <w:b/>
                <w:bCs/>
                <w:color w:val="000000"/>
                <w:sz w:val="22"/>
                <w:szCs w:val="22"/>
              </w:rPr>
              <w:t>CAT II/III</w:t>
            </w:r>
          </w:p>
        </w:tc>
        <w:tc>
          <w:tcPr>
            <w:tcW w:w="2500" w:type="pct"/>
            <w:shd w:val="clear" w:color="auto" w:fill="FFFFFF"/>
            <w:tcMar>
              <w:top w:w="75" w:type="dxa"/>
              <w:left w:w="105" w:type="dxa"/>
              <w:bottom w:w="75" w:type="dxa"/>
              <w:right w:w="105" w:type="dxa"/>
            </w:tcMar>
          </w:tcPr>
          <w:p w14:paraId="535EA03A" w14:textId="77777777" w:rsidR="00CC3B7D" w:rsidRDefault="007B010E">
            <w:r>
              <w:rPr>
                <w:rFonts w:ascii="Calibri" w:eastAsia="Calibri" w:hAnsi="Calibri" w:cs="Calibri"/>
                <w:color w:val="000000"/>
                <w:sz w:val="20"/>
                <w:szCs w:val="20"/>
              </w:rPr>
              <w:t>Instrument approach categories for low-visibility operations; CAT II requires RVR 1,200 feet or greater; CAT III permits operations below CAT II minima with qualifying aircraft and ground equipment</w:t>
            </w:r>
          </w:p>
        </w:tc>
      </w:tr>
      <w:tr w:rsidR="00CC3B7D" w14:paraId="535EA03E" w14:textId="77777777">
        <w:tblPrEx>
          <w:tblCellMar>
            <w:top w:w="0" w:type="dxa"/>
            <w:bottom w:w="0" w:type="dxa"/>
          </w:tblCellMar>
        </w:tblPrEx>
        <w:tc>
          <w:tcPr>
            <w:tcW w:w="2500" w:type="pct"/>
            <w:shd w:val="clear" w:color="auto" w:fill="FFFFFF"/>
            <w:tcMar>
              <w:top w:w="75" w:type="dxa"/>
              <w:left w:w="105" w:type="dxa"/>
              <w:bottom w:w="75" w:type="dxa"/>
              <w:right w:w="105" w:type="dxa"/>
            </w:tcMar>
          </w:tcPr>
          <w:p w14:paraId="535EA03C" w14:textId="77777777" w:rsidR="00CC3B7D" w:rsidRDefault="007B010E">
            <w:r>
              <w:rPr>
                <w:rFonts w:ascii="Calibri" w:eastAsia="Calibri" w:hAnsi="Calibri" w:cs="Calibri"/>
                <w:b/>
                <w:bCs/>
                <w:color w:val="000000"/>
                <w:sz w:val="22"/>
                <w:szCs w:val="22"/>
              </w:rPr>
              <w:t>NPIAS</w:t>
            </w:r>
          </w:p>
        </w:tc>
        <w:tc>
          <w:tcPr>
            <w:tcW w:w="2500" w:type="pct"/>
            <w:shd w:val="clear" w:color="auto" w:fill="FFFFFF"/>
            <w:tcMar>
              <w:top w:w="75" w:type="dxa"/>
              <w:left w:w="105" w:type="dxa"/>
              <w:bottom w:w="75" w:type="dxa"/>
              <w:right w:w="105" w:type="dxa"/>
            </w:tcMar>
          </w:tcPr>
          <w:p w14:paraId="535EA03D" w14:textId="77777777" w:rsidR="00CC3B7D" w:rsidRDefault="007B010E">
            <w:r>
              <w:rPr>
                <w:rFonts w:ascii="Calibri" w:eastAsia="Calibri" w:hAnsi="Calibri" w:cs="Calibri"/>
                <w:color w:val="000000"/>
                <w:sz w:val="20"/>
                <w:szCs w:val="20"/>
              </w:rPr>
              <w:t xml:space="preserve">National Plan </w:t>
            </w:r>
            <w:proofErr w:type="gramStart"/>
            <w:r>
              <w:rPr>
                <w:rFonts w:ascii="Calibri" w:eastAsia="Calibri" w:hAnsi="Calibri" w:cs="Calibri"/>
                <w:color w:val="000000"/>
                <w:sz w:val="20"/>
                <w:szCs w:val="20"/>
              </w:rPr>
              <w:t>of</w:t>
            </w:r>
            <w:proofErr w:type="gramEnd"/>
            <w:r>
              <w:rPr>
                <w:rFonts w:ascii="Calibri" w:eastAsia="Calibri" w:hAnsi="Calibri" w:cs="Calibri"/>
                <w:color w:val="000000"/>
                <w:sz w:val="20"/>
                <w:szCs w:val="20"/>
              </w:rPr>
              <w:t xml:space="preserve"> Integrated Airport Systems — FAA planning framework identifying airports of national significance and guiding federal airport investment</w:t>
            </w:r>
          </w:p>
        </w:tc>
      </w:tr>
      <w:tr w:rsidR="00CC3B7D" w14:paraId="535EA041" w14:textId="77777777">
        <w:tblPrEx>
          <w:tblCellMar>
            <w:top w:w="0" w:type="dxa"/>
            <w:bottom w:w="0" w:type="dxa"/>
          </w:tblCellMar>
        </w:tblPrEx>
        <w:tc>
          <w:tcPr>
            <w:tcW w:w="2500" w:type="pct"/>
            <w:shd w:val="clear" w:color="auto" w:fill="FFFFFF"/>
            <w:tcMar>
              <w:top w:w="75" w:type="dxa"/>
              <w:left w:w="105" w:type="dxa"/>
              <w:bottom w:w="75" w:type="dxa"/>
              <w:right w:w="105" w:type="dxa"/>
            </w:tcMar>
          </w:tcPr>
          <w:p w14:paraId="535EA03F" w14:textId="77777777" w:rsidR="00CC3B7D" w:rsidRDefault="007B010E">
            <w:r>
              <w:rPr>
                <w:rFonts w:ascii="Calibri" w:eastAsia="Calibri" w:hAnsi="Calibri" w:cs="Calibri"/>
                <w:b/>
                <w:bCs/>
                <w:color w:val="000000"/>
                <w:sz w:val="22"/>
                <w:szCs w:val="22"/>
              </w:rPr>
              <w:t>SEA</w:t>
            </w:r>
          </w:p>
        </w:tc>
        <w:tc>
          <w:tcPr>
            <w:tcW w:w="2500" w:type="pct"/>
            <w:shd w:val="clear" w:color="auto" w:fill="FFFFFF"/>
            <w:tcMar>
              <w:top w:w="75" w:type="dxa"/>
              <w:left w:w="105" w:type="dxa"/>
              <w:bottom w:w="75" w:type="dxa"/>
              <w:right w:w="105" w:type="dxa"/>
            </w:tcMar>
          </w:tcPr>
          <w:p w14:paraId="535EA040" w14:textId="77777777" w:rsidR="00CC3B7D" w:rsidRDefault="007B010E">
            <w:r>
              <w:rPr>
                <w:rFonts w:ascii="Calibri" w:eastAsia="Calibri" w:hAnsi="Calibri" w:cs="Calibri"/>
                <w:color w:val="000000"/>
                <w:sz w:val="20"/>
                <w:szCs w:val="20"/>
              </w:rPr>
              <w:t>Seattle-Tacoma International Airport — IATA designator; operated by the Port of Seattle; primary commercial service airport for the Puget Sound region</w:t>
            </w:r>
          </w:p>
        </w:tc>
      </w:tr>
      <w:tr w:rsidR="00CC3B7D" w14:paraId="535EA044" w14:textId="77777777">
        <w:tblPrEx>
          <w:tblCellMar>
            <w:top w:w="0" w:type="dxa"/>
            <w:bottom w:w="0" w:type="dxa"/>
          </w:tblCellMar>
        </w:tblPrEx>
        <w:tc>
          <w:tcPr>
            <w:tcW w:w="2500" w:type="pct"/>
            <w:shd w:val="clear" w:color="auto" w:fill="FFFFFF"/>
            <w:tcMar>
              <w:top w:w="75" w:type="dxa"/>
              <w:left w:w="105" w:type="dxa"/>
              <w:bottom w:w="75" w:type="dxa"/>
              <w:right w:w="105" w:type="dxa"/>
            </w:tcMar>
          </w:tcPr>
          <w:p w14:paraId="535EA042" w14:textId="77777777" w:rsidR="00CC3B7D" w:rsidRDefault="007B010E">
            <w:r>
              <w:rPr>
                <w:rFonts w:ascii="Calibri" w:eastAsia="Calibri" w:hAnsi="Calibri" w:cs="Calibri"/>
                <w:b/>
                <w:bCs/>
                <w:color w:val="000000"/>
                <w:sz w:val="22"/>
                <w:szCs w:val="22"/>
              </w:rPr>
              <w:t>FAA</w:t>
            </w:r>
          </w:p>
        </w:tc>
        <w:tc>
          <w:tcPr>
            <w:tcW w:w="2500" w:type="pct"/>
            <w:shd w:val="clear" w:color="auto" w:fill="FFFFFF"/>
            <w:tcMar>
              <w:top w:w="75" w:type="dxa"/>
              <w:left w:w="105" w:type="dxa"/>
              <w:bottom w:w="75" w:type="dxa"/>
              <w:right w:w="105" w:type="dxa"/>
            </w:tcMar>
          </w:tcPr>
          <w:p w14:paraId="535EA043" w14:textId="77777777" w:rsidR="00CC3B7D" w:rsidRDefault="007B010E">
            <w:r>
              <w:rPr>
                <w:rFonts w:ascii="Calibri" w:eastAsia="Calibri" w:hAnsi="Calibri" w:cs="Calibri"/>
                <w:color w:val="000000"/>
                <w:sz w:val="20"/>
                <w:szCs w:val="20"/>
              </w:rPr>
              <w:t>Federal Aviation Administration — U.S. Department of Transportation agency responsible for the regulation and oversight of civil aviation</w:t>
            </w:r>
          </w:p>
        </w:tc>
      </w:tr>
      <w:tr w:rsidR="00CC3B7D" w14:paraId="535EA047" w14:textId="77777777">
        <w:tblPrEx>
          <w:tblCellMar>
            <w:top w:w="0" w:type="dxa"/>
            <w:bottom w:w="0" w:type="dxa"/>
          </w:tblCellMar>
        </w:tblPrEx>
        <w:tc>
          <w:tcPr>
            <w:tcW w:w="2500" w:type="pct"/>
            <w:shd w:val="clear" w:color="auto" w:fill="FFFFFF"/>
            <w:tcMar>
              <w:top w:w="75" w:type="dxa"/>
              <w:left w:w="105" w:type="dxa"/>
              <w:bottom w:w="75" w:type="dxa"/>
              <w:right w:w="105" w:type="dxa"/>
            </w:tcMar>
          </w:tcPr>
          <w:p w14:paraId="535EA045" w14:textId="77777777" w:rsidR="00CC3B7D" w:rsidRDefault="007B010E">
            <w:r>
              <w:rPr>
                <w:rFonts w:ascii="Calibri" w:eastAsia="Calibri" w:hAnsi="Calibri" w:cs="Calibri"/>
                <w:b/>
                <w:bCs/>
                <w:color w:val="000000"/>
                <w:sz w:val="22"/>
                <w:szCs w:val="22"/>
              </w:rPr>
              <w:t>TBFM</w:t>
            </w:r>
          </w:p>
        </w:tc>
        <w:tc>
          <w:tcPr>
            <w:tcW w:w="2500" w:type="pct"/>
            <w:shd w:val="clear" w:color="auto" w:fill="FFFFFF"/>
            <w:tcMar>
              <w:top w:w="75" w:type="dxa"/>
              <w:left w:w="105" w:type="dxa"/>
              <w:bottom w:w="75" w:type="dxa"/>
              <w:right w:w="105" w:type="dxa"/>
            </w:tcMar>
          </w:tcPr>
          <w:p w14:paraId="535EA046" w14:textId="77777777" w:rsidR="00CC3B7D" w:rsidRDefault="007B010E">
            <w:r>
              <w:rPr>
                <w:rFonts w:ascii="Calibri" w:eastAsia="Calibri" w:hAnsi="Calibri" w:cs="Calibri"/>
                <w:color w:val="000000"/>
                <w:sz w:val="20"/>
                <w:szCs w:val="20"/>
              </w:rPr>
              <w:t xml:space="preserve">Time-Based Flow Management — FAA </w:t>
            </w:r>
            <w:proofErr w:type="spellStart"/>
            <w:r>
              <w:rPr>
                <w:rFonts w:ascii="Calibri" w:eastAsia="Calibri" w:hAnsi="Calibri" w:cs="Calibri"/>
                <w:color w:val="000000"/>
                <w:sz w:val="20"/>
                <w:szCs w:val="20"/>
              </w:rPr>
              <w:t>en</w:t>
            </w:r>
            <w:proofErr w:type="spellEnd"/>
            <w:r>
              <w:rPr>
                <w:rFonts w:ascii="Calibri" w:eastAsia="Calibri" w:hAnsi="Calibri" w:cs="Calibri"/>
                <w:color w:val="000000"/>
                <w:sz w:val="20"/>
                <w:szCs w:val="20"/>
              </w:rPr>
              <w:t xml:space="preserve"> route metering system that sequences arriving aircraft based on scheduled arrival times, reducing miles-in-trail restrictions and improving runway delivery consistency</w:t>
            </w:r>
          </w:p>
        </w:tc>
      </w:tr>
      <w:tr w:rsidR="00CC3B7D" w14:paraId="535EA04A" w14:textId="77777777">
        <w:tblPrEx>
          <w:tblCellMar>
            <w:top w:w="0" w:type="dxa"/>
            <w:bottom w:w="0" w:type="dxa"/>
          </w:tblCellMar>
        </w:tblPrEx>
        <w:tc>
          <w:tcPr>
            <w:tcW w:w="2500" w:type="pct"/>
            <w:shd w:val="clear" w:color="auto" w:fill="FFFFFF"/>
            <w:tcMar>
              <w:top w:w="75" w:type="dxa"/>
              <w:left w:w="105" w:type="dxa"/>
              <w:bottom w:w="75" w:type="dxa"/>
              <w:right w:w="105" w:type="dxa"/>
            </w:tcMar>
          </w:tcPr>
          <w:p w14:paraId="535EA048" w14:textId="77777777" w:rsidR="00CC3B7D" w:rsidRDefault="007B010E">
            <w:r>
              <w:rPr>
                <w:rFonts w:ascii="Calibri" w:eastAsia="Calibri" w:hAnsi="Calibri" w:cs="Calibri"/>
                <w:b/>
                <w:bCs/>
                <w:color w:val="000000"/>
                <w:sz w:val="22"/>
                <w:szCs w:val="22"/>
              </w:rPr>
              <w:t>PBN</w:t>
            </w:r>
          </w:p>
        </w:tc>
        <w:tc>
          <w:tcPr>
            <w:tcW w:w="2500" w:type="pct"/>
            <w:shd w:val="clear" w:color="auto" w:fill="FFFFFF"/>
            <w:tcMar>
              <w:top w:w="75" w:type="dxa"/>
              <w:left w:w="105" w:type="dxa"/>
              <w:bottom w:w="75" w:type="dxa"/>
              <w:right w:w="105" w:type="dxa"/>
            </w:tcMar>
          </w:tcPr>
          <w:p w14:paraId="535EA049" w14:textId="77777777" w:rsidR="00CC3B7D" w:rsidRDefault="007B010E">
            <w:r>
              <w:rPr>
                <w:rFonts w:ascii="Calibri" w:eastAsia="Calibri" w:hAnsi="Calibri" w:cs="Calibri"/>
                <w:color w:val="000000"/>
                <w:sz w:val="20"/>
                <w:szCs w:val="20"/>
              </w:rPr>
              <w:t>Performance-Based Navigation — ICAO framework for navigation specifications based on aircraft performance requirements, enabling more precise approach and departure procedures</w:t>
            </w:r>
          </w:p>
        </w:tc>
      </w:tr>
    </w:tbl>
    <w:p w14:paraId="535EA04B" w14:textId="77777777" w:rsidR="00CC3B7D" w:rsidRDefault="00CC3B7D">
      <w:pPr>
        <w:spacing w:after="200"/>
      </w:pPr>
    </w:p>
    <w:p w14:paraId="535EA04C" w14:textId="77777777" w:rsidR="00CC3B7D" w:rsidRDefault="00CC3B7D">
      <w:pPr>
        <w:pBdr>
          <w:bottom w:val="single" w:sz="6" w:space="0" w:color="7F9FBF"/>
        </w:pBdr>
        <w:spacing w:before="240" w:after="240"/>
      </w:pPr>
    </w:p>
    <w:p w14:paraId="535EA04D" w14:textId="77B3ABC8" w:rsidR="00CC3B7D" w:rsidRDefault="007B010E">
      <w:pPr>
        <w:spacing w:after="240" w:line="360" w:lineRule="auto"/>
        <w:jc w:val="center"/>
      </w:pPr>
      <w:r>
        <w:rPr>
          <w:rFonts w:ascii="Calibri" w:eastAsia="Calibri" w:hAnsi="Calibri" w:cs="Calibri"/>
          <w:color w:val="5A6E82"/>
          <w:sz w:val="17"/>
          <w:szCs w:val="17"/>
        </w:rPr>
        <w:t xml:space="preserve">Technical Appendix – SEA Airport Capacity </w:t>
      </w:r>
      <w:proofErr w:type="gramStart"/>
      <w:r>
        <w:rPr>
          <w:rFonts w:ascii="Calibri" w:eastAsia="Calibri" w:hAnsi="Calibri" w:cs="Calibri"/>
          <w:color w:val="5A6E82"/>
          <w:sz w:val="17"/>
          <w:szCs w:val="17"/>
        </w:rPr>
        <w:t>Analysis  |</w:t>
      </w:r>
      <w:proofErr w:type="gramEnd"/>
      <w:r>
        <w:rPr>
          <w:rFonts w:ascii="Calibri" w:eastAsia="Calibri" w:hAnsi="Calibri" w:cs="Calibri"/>
          <w:color w:val="5A6E82"/>
          <w:sz w:val="17"/>
          <w:szCs w:val="17"/>
        </w:rPr>
        <w:t xml:space="preserve">  Jeffery </w:t>
      </w:r>
      <w:proofErr w:type="gramStart"/>
      <w:r>
        <w:rPr>
          <w:rFonts w:ascii="Calibri" w:eastAsia="Calibri" w:hAnsi="Calibri" w:cs="Calibri"/>
          <w:color w:val="5A6E82"/>
          <w:sz w:val="17"/>
          <w:szCs w:val="17"/>
        </w:rPr>
        <w:t>Bogen  |</w:t>
      </w:r>
      <w:proofErr w:type="gramEnd"/>
      <w:r>
        <w:rPr>
          <w:rFonts w:ascii="Calibri" w:eastAsia="Calibri" w:hAnsi="Calibri" w:cs="Calibri"/>
          <w:color w:val="5A6E82"/>
          <w:sz w:val="17"/>
          <w:szCs w:val="17"/>
        </w:rPr>
        <w:t xml:space="preserve">  May 28, </w:t>
      </w:r>
      <w:proofErr w:type="gramStart"/>
      <w:r>
        <w:rPr>
          <w:rFonts w:ascii="Calibri" w:eastAsia="Calibri" w:hAnsi="Calibri" w:cs="Calibri"/>
          <w:color w:val="5A6E82"/>
          <w:sz w:val="17"/>
          <w:szCs w:val="17"/>
        </w:rPr>
        <w:t>2026  |</w:t>
      </w:r>
      <w:proofErr w:type="gramEnd"/>
      <w:r>
        <w:rPr>
          <w:rFonts w:ascii="Calibri" w:eastAsia="Calibri" w:hAnsi="Calibri" w:cs="Calibri"/>
          <w:color w:val="5A6E82"/>
          <w:sz w:val="17"/>
          <w:szCs w:val="17"/>
        </w:rPr>
        <w:t xml:space="preserve">  </w:t>
      </w:r>
    </w:p>
    <w:sectPr w:rsidR="00CC3B7D">
      <w:pgSz w:w="12240" w:h="15840"/>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57D94"/>
    <w:multiLevelType w:val="hybridMultilevel"/>
    <w:tmpl w:val="8FC2AEC4"/>
    <w:lvl w:ilvl="0" w:tplc="0D9EDD02">
      <w:start w:val="1"/>
      <w:numFmt w:val="bullet"/>
      <w:lvlText w:val="●"/>
      <w:lvlJc w:val="left"/>
      <w:pPr>
        <w:ind w:left="720" w:hanging="360"/>
      </w:pPr>
    </w:lvl>
    <w:lvl w:ilvl="1" w:tplc="2514EE3A">
      <w:start w:val="1"/>
      <w:numFmt w:val="bullet"/>
      <w:lvlText w:val="○"/>
      <w:lvlJc w:val="left"/>
      <w:pPr>
        <w:ind w:left="1440" w:hanging="360"/>
      </w:pPr>
    </w:lvl>
    <w:lvl w:ilvl="2" w:tplc="BB3A394C">
      <w:start w:val="1"/>
      <w:numFmt w:val="bullet"/>
      <w:lvlText w:val="■"/>
      <w:lvlJc w:val="left"/>
      <w:pPr>
        <w:ind w:left="2160" w:hanging="360"/>
      </w:pPr>
    </w:lvl>
    <w:lvl w:ilvl="3" w:tplc="61F68A18">
      <w:start w:val="1"/>
      <w:numFmt w:val="bullet"/>
      <w:lvlText w:val="●"/>
      <w:lvlJc w:val="left"/>
      <w:pPr>
        <w:ind w:left="2880" w:hanging="360"/>
      </w:pPr>
    </w:lvl>
    <w:lvl w:ilvl="4" w:tplc="445E29D4">
      <w:start w:val="1"/>
      <w:numFmt w:val="bullet"/>
      <w:lvlText w:val="○"/>
      <w:lvlJc w:val="left"/>
      <w:pPr>
        <w:ind w:left="3600" w:hanging="360"/>
      </w:pPr>
    </w:lvl>
    <w:lvl w:ilvl="5" w:tplc="F3F25448">
      <w:start w:val="1"/>
      <w:numFmt w:val="bullet"/>
      <w:lvlText w:val="■"/>
      <w:lvlJc w:val="left"/>
      <w:pPr>
        <w:ind w:left="4320" w:hanging="360"/>
      </w:pPr>
    </w:lvl>
    <w:lvl w:ilvl="6" w:tplc="C5609458">
      <w:start w:val="1"/>
      <w:numFmt w:val="bullet"/>
      <w:lvlText w:val="●"/>
      <w:lvlJc w:val="left"/>
      <w:pPr>
        <w:ind w:left="5040" w:hanging="360"/>
      </w:pPr>
    </w:lvl>
    <w:lvl w:ilvl="7" w:tplc="675E11FA">
      <w:start w:val="1"/>
      <w:numFmt w:val="bullet"/>
      <w:lvlText w:val="●"/>
      <w:lvlJc w:val="left"/>
      <w:pPr>
        <w:ind w:left="5760" w:hanging="360"/>
      </w:pPr>
    </w:lvl>
    <w:lvl w:ilvl="8" w:tplc="1FF07E08">
      <w:start w:val="1"/>
      <w:numFmt w:val="bullet"/>
      <w:lvlText w:val="●"/>
      <w:lvlJc w:val="left"/>
      <w:pPr>
        <w:ind w:left="6480" w:hanging="360"/>
      </w:pPr>
    </w:lvl>
  </w:abstractNum>
  <w:abstractNum w:abstractNumId="1" w15:restartNumberingAfterBreak="0">
    <w:nsid w:val="73AE2DD9"/>
    <w:multiLevelType w:val="hybridMultilevel"/>
    <w:tmpl w:val="14F42B96"/>
    <w:lvl w:ilvl="0" w:tplc="754425A4">
      <w:start w:val="1"/>
      <w:numFmt w:val="decimal"/>
      <w:lvlText w:val="%1."/>
      <w:lvlJc w:val="left"/>
      <w:pPr>
        <w:ind w:left="720" w:hanging="360"/>
      </w:pPr>
    </w:lvl>
    <w:lvl w:ilvl="1" w:tplc="721884A2">
      <w:numFmt w:val="decimal"/>
      <w:lvlText w:val=""/>
      <w:lvlJc w:val="left"/>
    </w:lvl>
    <w:lvl w:ilvl="2" w:tplc="DE145FA8">
      <w:numFmt w:val="decimal"/>
      <w:lvlText w:val=""/>
      <w:lvlJc w:val="left"/>
    </w:lvl>
    <w:lvl w:ilvl="3" w:tplc="1AA21778">
      <w:numFmt w:val="decimal"/>
      <w:lvlText w:val=""/>
      <w:lvlJc w:val="left"/>
    </w:lvl>
    <w:lvl w:ilvl="4" w:tplc="B40A5A40">
      <w:numFmt w:val="decimal"/>
      <w:lvlText w:val=""/>
      <w:lvlJc w:val="left"/>
    </w:lvl>
    <w:lvl w:ilvl="5" w:tplc="E30244C0">
      <w:numFmt w:val="decimal"/>
      <w:lvlText w:val=""/>
      <w:lvlJc w:val="left"/>
    </w:lvl>
    <w:lvl w:ilvl="6" w:tplc="06A0AA46">
      <w:numFmt w:val="decimal"/>
      <w:lvlText w:val=""/>
      <w:lvlJc w:val="left"/>
    </w:lvl>
    <w:lvl w:ilvl="7" w:tplc="B0C2B0CA">
      <w:numFmt w:val="decimal"/>
      <w:lvlText w:val=""/>
      <w:lvlJc w:val="left"/>
    </w:lvl>
    <w:lvl w:ilvl="8" w:tplc="DCDC9A52">
      <w:numFmt w:val="decimal"/>
      <w:lvlText w:val=""/>
      <w:lvlJc w:val="left"/>
    </w:lvl>
  </w:abstractNum>
  <w:num w:numId="1" w16cid:durableId="2135975695">
    <w:abstractNumId w:val="0"/>
    <w:lvlOverride w:ilvl="0">
      <w:startOverride w:val="1"/>
    </w:lvlOverride>
  </w:num>
  <w:num w:numId="2" w16cid:durableId="18425493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7D"/>
    <w:rsid w:val="000400A9"/>
    <w:rsid w:val="000467D9"/>
    <w:rsid w:val="007B010E"/>
    <w:rsid w:val="009E3DBE"/>
    <w:rsid w:val="00A418AC"/>
    <w:rsid w:val="00A67450"/>
    <w:rsid w:val="00CC3B7D"/>
    <w:rsid w:val="00F2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9E2A"/>
  <w15:docId w15:val="{70A6F957-8188-49A1-8E07-426B892F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000000"/>
      <w:sz w:val="48"/>
      <w:szCs w:val="48"/>
    </w:rPr>
  </w:style>
  <w:style w:type="paragraph" w:styleId="Heading2">
    <w:name w:val="heading 2"/>
    <w:uiPriority w:val="9"/>
    <w:semiHidden/>
    <w:unhideWhenUsed/>
    <w:qFormat/>
    <w:pPr>
      <w:outlineLvl w:val="1"/>
    </w:pPr>
    <w:rPr>
      <w:b/>
      <w:bCs/>
      <w:color w:val="000000"/>
      <w:sz w:val="36"/>
      <w:szCs w:val="36"/>
    </w:rPr>
  </w:style>
  <w:style w:type="paragraph" w:styleId="Heading3">
    <w:name w:val="heading 3"/>
    <w:uiPriority w:val="9"/>
    <w:semiHidden/>
    <w:unhideWhenUsed/>
    <w:qFormat/>
    <w:pPr>
      <w:outlineLvl w:val="2"/>
    </w:pPr>
    <w:rPr>
      <w:b/>
      <w:bCs/>
      <w:color w:val="000000"/>
      <w:sz w:val="30"/>
      <w:szCs w:val="30"/>
    </w:rPr>
  </w:style>
  <w:style w:type="paragraph" w:styleId="Heading4">
    <w:name w:val="heading 4"/>
    <w:uiPriority w:val="9"/>
    <w:semiHidden/>
    <w:unhideWhenUsed/>
    <w:qFormat/>
    <w:pPr>
      <w:outlineLvl w:val="3"/>
    </w:pPr>
    <w:rPr>
      <w:b/>
      <w:bCs/>
      <w:color w:val="000000"/>
      <w:sz w:val="26"/>
      <w:szCs w:val="26"/>
    </w:rPr>
  </w:style>
  <w:style w:type="paragraph" w:styleId="Heading5">
    <w:name w:val="heading 5"/>
    <w:uiPriority w:val="9"/>
    <w:semiHidden/>
    <w:unhideWhenUsed/>
    <w:qFormat/>
    <w:pPr>
      <w:outlineLvl w:val="4"/>
    </w:pPr>
    <w:rPr>
      <w:b/>
      <w:bCs/>
      <w:color w:val="000000"/>
    </w:rPr>
  </w:style>
  <w:style w:type="paragraph" w:styleId="Heading6">
    <w:name w:val="heading 6"/>
    <w:uiPriority w:val="9"/>
    <w:semiHidden/>
    <w:unhideWhenUsed/>
    <w:qFormat/>
    <w:pPr>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2724</Words>
  <Characters>16786</Characters>
  <Application>Microsoft Office Word</Application>
  <DocSecurity>0</DocSecurity>
  <Lines>671</Lines>
  <Paragraphs>424</Paragraphs>
  <ScaleCrop>false</ScaleCrop>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waZkmyTztxtboErE3ziuL</dc:title>
  <dc:creator>Un-named</dc:creator>
  <dc:description>Generated document</dc:description>
  <cp:lastModifiedBy>jeff bogen</cp:lastModifiedBy>
  <cp:revision>6</cp:revision>
  <dcterms:created xsi:type="dcterms:W3CDTF">2026-05-28T14:40:00Z</dcterms:created>
  <dcterms:modified xsi:type="dcterms:W3CDTF">2026-05-28T14:46:00Z</dcterms:modified>
</cp:coreProperties>
</file>